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C8" w:rsidRPr="005D45C8" w:rsidRDefault="005D45C8" w:rsidP="005D45C8">
      <w:pPr>
        <w:pStyle w:val="2"/>
        <w:tabs>
          <w:tab w:val="left" w:pos="851"/>
          <w:tab w:val="left" w:leader="underscore" w:pos="5463"/>
          <w:tab w:val="left" w:leader="underscore" w:pos="6860"/>
        </w:tabs>
        <w:spacing w:line="240" w:lineRule="auto"/>
        <w:ind w:left="5954" w:right="-2" w:firstLine="0"/>
        <w:jc w:val="left"/>
        <w:rPr>
          <w:sz w:val="28"/>
          <w:szCs w:val="28"/>
        </w:rPr>
      </w:pPr>
      <w:r w:rsidRPr="005D45C8">
        <w:rPr>
          <w:sz w:val="28"/>
          <w:szCs w:val="28"/>
        </w:rPr>
        <w:t>Approved by the order of the Chairman of the Committee on Statistics of the Ministry of National Economy of the Republic of Kazakhstan</w:t>
      </w:r>
    </w:p>
    <w:p w:rsidR="005D45C8" w:rsidRPr="005D45C8" w:rsidRDefault="005D45C8" w:rsidP="005D45C8">
      <w:pPr>
        <w:pStyle w:val="2"/>
        <w:tabs>
          <w:tab w:val="left" w:pos="851"/>
          <w:tab w:val="left" w:leader="underscore" w:pos="5463"/>
          <w:tab w:val="left" w:leader="underscore" w:pos="6860"/>
        </w:tabs>
        <w:spacing w:line="240" w:lineRule="auto"/>
        <w:ind w:left="5954" w:right="-2" w:firstLine="0"/>
        <w:jc w:val="left"/>
        <w:rPr>
          <w:sz w:val="28"/>
          <w:szCs w:val="28"/>
        </w:rPr>
      </w:pPr>
      <w:r w:rsidRPr="005D45C8">
        <w:rPr>
          <w:sz w:val="28"/>
          <w:szCs w:val="28"/>
        </w:rPr>
        <w:t>November 21, 2016</w:t>
      </w:r>
    </w:p>
    <w:p w:rsidR="00376493" w:rsidRPr="0081511F" w:rsidRDefault="005D45C8" w:rsidP="005D45C8">
      <w:pPr>
        <w:pStyle w:val="2"/>
        <w:shd w:val="clear" w:color="auto" w:fill="auto"/>
        <w:tabs>
          <w:tab w:val="left" w:pos="851"/>
          <w:tab w:val="left" w:leader="underscore" w:pos="5463"/>
          <w:tab w:val="left" w:leader="underscore" w:pos="6860"/>
        </w:tabs>
        <w:spacing w:before="0" w:line="240" w:lineRule="auto"/>
        <w:ind w:left="5954" w:right="-2" w:firstLine="0"/>
        <w:jc w:val="left"/>
        <w:rPr>
          <w:sz w:val="28"/>
          <w:szCs w:val="28"/>
          <w:lang w:val="kk-KZ"/>
        </w:rPr>
      </w:pPr>
      <w:r w:rsidRPr="005D45C8">
        <w:rPr>
          <w:sz w:val="28"/>
          <w:szCs w:val="28"/>
        </w:rPr>
        <w:t>no. 269</w:t>
      </w:r>
    </w:p>
    <w:p w:rsidR="00376493" w:rsidRPr="00F12902" w:rsidRDefault="00376493" w:rsidP="004924CE">
      <w:pPr>
        <w:pStyle w:val="af4"/>
        <w:tabs>
          <w:tab w:val="left" w:pos="851"/>
        </w:tabs>
        <w:rPr>
          <w:rFonts w:ascii="Times New Roman" w:hAnsi="Times New Roman" w:cs="Times New Roman"/>
          <w:sz w:val="28"/>
          <w:szCs w:val="28"/>
        </w:rPr>
      </w:pPr>
    </w:p>
    <w:p w:rsidR="00EC5C20" w:rsidRPr="00F12902" w:rsidRDefault="00EC5C20" w:rsidP="004924CE">
      <w:pPr>
        <w:pStyle w:val="af4"/>
        <w:tabs>
          <w:tab w:val="left" w:pos="851"/>
        </w:tabs>
        <w:rPr>
          <w:rFonts w:ascii="Times New Roman" w:hAnsi="Times New Roman" w:cs="Times New Roman"/>
          <w:sz w:val="28"/>
          <w:szCs w:val="28"/>
        </w:rPr>
      </w:pPr>
    </w:p>
    <w:p w:rsidR="001950B9" w:rsidRPr="00F12902" w:rsidRDefault="001950B9" w:rsidP="004924CE">
      <w:pPr>
        <w:pStyle w:val="2"/>
        <w:tabs>
          <w:tab w:val="left" w:pos="851"/>
        </w:tabs>
        <w:spacing w:before="0" w:line="240" w:lineRule="auto"/>
        <w:ind w:firstLine="0"/>
        <w:rPr>
          <w:b/>
          <w:bCs/>
          <w:sz w:val="28"/>
          <w:szCs w:val="28"/>
        </w:rPr>
      </w:pPr>
      <w:r w:rsidRPr="00F12902">
        <w:rPr>
          <w:b/>
          <w:bCs/>
          <w:sz w:val="28"/>
          <w:szCs w:val="28"/>
        </w:rPr>
        <w:t>Methodology for compiling a revaluation account</w:t>
      </w:r>
    </w:p>
    <w:p w:rsidR="001950B9" w:rsidRPr="00F12902" w:rsidRDefault="001950B9" w:rsidP="004924CE">
      <w:pPr>
        <w:pStyle w:val="af4"/>
        <w:tabs>
          <w:tab w:val="left" w:pos="851"/>
        </w:tabs>
        <w:rPr>
          <w:rFonts w:ascii="Times New Roman" w:hAnsi="Times New Roman" w:cs="Times New Roman"/>
          <w:sz w:val="28"/>
          <w:szCs w:val="28"/>
        </w:rPr>
      </w:pPr>
    </w:p>
    <w:p w:rsidR="008C4017" w:rsidRPr="00F12902" w:rsidRDefault="008C4017" w:rsidP="004924CE">
      <w:pPr>
        <w:pStyle w:val="af4"/>
        <w:tabs>
          <w:tab w:val="left" w:pos="851"/>
        </w:tabs>
        <w:rPr>
          <w:rFonts w:ascii="Times New Roman" w:hAnsi="Times New Roman" w:cs="Times New Roman"/>
          <w:sz w:val="28"/>
          <w:szCs w:val="28"/>
        </w:rPr>
      </w:pPr>
    </w:p>
    <w:p w:rsidR="002B5087" w:rsidRPr="00F12902" w:rsidRDefault="00EC5C20" w:rsidP="004924CE">
      <w:pPr>
        <w:pStyle w:val="3"/>
        <w:keepNext w:val="0"/>
        <w:tabs>
          <w:tab w:val="left" w:pos="851"/>
        </w:tabs>
        <w:spacing w:before="0" w:after="0" w:line="240" w:lineRule="auto"/>
        <w:jc w:val="center"/>
        <w:rPr>
          <w:rFonts w:ascii="Times New Roman" w:hAnsi="Times New Roman"/>
          <w:sz w:val="28"/>
          <w:szCs w:val="28"/>
        </w:rPr>
      </w:pPr>
      <w:r w:rsidRPr="00F12902">
        <w:rPr>
          <w:rFonts w:ascii="Times New Roman" w:hAnsi="Times New Roman"/>
          <w:sz w:val="28"/>
          <w:szCs w:val="28"/>
        </w:rPr>
        <w:t xml:space="preserve">Chapter 1. General </w:t>
      </w:r>
      <w:r w:rsidR="0033297E">
        <w:rPr>
          <w:rFonts w:ascii="Times New Roman" w:hAnsi="Times New Roman"/>
          <w:sz w:val="28"/>
          <w:szCs w:val="28"/>
        </w:rPr>
        <w:t>p</w:t>
      </w:r>
      <w:r w:rsidRPr="00F12902">
        <w:rPr>
          <w:rFonts w:ascii="Times New Roman" w:hAnsi="Times New Roman"/>
          <w:sz w:val="28"/>
          <w:szCs w:val="28"/>
        </w:rPr>
        <w:t>rovisions</w:t>
      </w:r>
    </w:p>
    <w:p w:rsidR="00376493" w:rsidRPr="00F12902" w:rsidRDefault="00376493" w:rsidP="004924CE">
      <w:pPr>
        <w:pStyle w:val="af4"/>
        <w:tabs>
          <w:tab w:val="left" w:pos="851"/>
        </w:tabs>
        <w:rPr>
          <w:rFonts w:ascii="Times New Roman" w:hAnsi="Times New Roman" w:cs="Times New Roman"/>
          <w:sz w:val="28"/>
          <w:szCs w:val="28"/>
        </w:rPr>
      </w:pPr>
    </w:p>
    <w:p w:rsidR="006C4312" w:rsidRPr="00F12902" w:rsidRDefault="006C4312" w:rsidP="006C4312">
      <w:pPr>
        <w:pStyle w:val="a5"/>
        <w:numPr>
          <w:ilvl w:val="0"/>
          <w:numId w:val="1"/>
        </w:numPr>
        <w:tabs>
          <w:tab w:val="left" w:pos="851"/>
          <w:tab w:val="left" w:pos="1134"/>
        </w:tabs>
        <w:ind w:left="0" w:firstLine="709"/>
        <w:rPr>
          <w:szCs w:val="28"/>
        </w:rPr>
      </w:pPr>
      <w:r w:rsidRPr="00F12902">
        <w:rPr>
          <w:szCs w:val="28"/>
        </w:rPr>
        <w:t xml:space="preserve">The methodology for compiling the revaluation account (hereinafter - the Methodology) refers to a statistical methodology developed in accordance with international standards and </w:t>
      </w:r>
      <w:hyperlink r:id="rId8" w:anchor="z0" w:history="1">
        <w:r w:rsidRPr="00417B33">
          <w:rPr>
            <w:szCs w:val="28"/>
          </w:rPr>
          <w:t xml:space="preserve">the Law </w:t>
        </w:r>
      </w:hyperlink>
      <w:r w:rsidRPr="00F12902">
        <w:rPr>
          <w:szCs w:val="28"/>
        </w:rPr>
        <w:t>of the Republic of Kazakhstan dated March 19, 2010 "On State Statistics".</w:t>
      </w:r>
    </w:p>
    <w:p w:rsidR="006C4312" w:rsidRPr="00F12902" w:rsidRDefault="006C4312" w:rsidP="006C4312">
      <w:pPr>
        <w:pStyle w:val="a5"/>
        <w:numPr>
          <w:ilvl w:val="0"/>
          <w:numId w:val="1"/>
        </w:numPr>
        <w:tabs>
          <w:tab w:val="left" w:pos="851"/>
          <w:tab w:val="left" w:pos="1134"/>
        </w:tabs>
        <w:ind w:left="0" w:firstLine="709"/>
        <w:rPr>
          <w:szCs w:val="28"/>
        </w:rPr>
      </w:pPr>
      <w:r w:rsidRPr="00F12902">
        <w:rPr>
          <w:szCs w:val="28"/>
        </w:rPr>
        <w:t>This Methodology is intended for use by the Statistics Committee of the Ministry of National Economy of the Republic of Kazakhstan in the formation of the revaluation account and is applied to the System of National Accounts.</w:t>
      </w:r>
    </w:p>
    <w:p w:rsidR="006C4312" w:rsidRPr="00F12902" w:rsidRDefault="006C4312" w:rsidP="006C4312">
      <w:pPr>
        <w:pStyle w:val="a5"/>
        <w:numPr>
          <w:ilvl w:val="0"/>
          <w:numId w:val="1"/>
        </w:numPr>
        <w:tabs>
          <w:tab w:val="left" w:pos="851"/>
          <w:tab w:val="left" w:pos="1134"/>
        </w:tabs>
        <w:ind w:left="0" w:firstLine="709"/>
        <w:rPr>
          <w:bCs/>
          <w:kern w:val="32"/>
          <w:szCs w:val="28"/>
        </w:rPr>
      </w:pPr>
      <w:r w:rsidRPr="00F12902">
        <w:rPr>
          <w:bCs/>
          <w:kern w:val="32"/>
          <w:szCs w:val="28"/>
        </w:rPr>
        <w:t>The purpose of this Methodology is</w:t>
      </w:r>
      <w:r w:rsidRPr="00F12902">
        <w:rPr>
          <w:szCs w:val="28"/>
        </w:rPr>
        <w:t xml:space="preserve"> </w:t>
      </w:r>
      <w:r w:rsidRPr="00F12902">
        <w:rPr>
          <w:bCs/>
          <w:kern w:val="32"/>
          <w:szCs w:val="28"/>
        </w:rPr>
        <w:t xml:space="preserve">determination of approaches for calculating holding gains and losses </w:t>
      </w:r>
      <w:r w:rsidRPr="00F12902">
        <w:rPr>
          <w:szCs w:val="28"/>
        </w:rPr>
        <w:t xml:space="preserve">to ensure comparability of data </w:t>
      </w:r>
      <w:r>
        <w:rPr>
          <w:szCs w:val="28"/>
          <w:lang w:val="kk-KZ"/>
        </w:rPr>
        <w:t>and</w:t>
      </w:r>
      <w:r w:rsidRPr="00F12902">
        <w:rPr>
          <w:szCs w:val="28"/>
        </w:rPr>
        <w:t xml:space="preserve"> </w:t>
      </w:r>
      <w:r w:rsidRPr="00F12902">
        <w:rPr>
          <w:szCs w:val="28"/>
          <w:lang w:val="kk-KZ"/>
        </w:rPr>
        <w:t xml:space="preserve">improving </w:t>
      </w:r>
      <w:r w:rsidRPr="00F12902">
        <w:rPr>
          <w:bCs/>
          <w:kern w:val="32"/>
          <w:szCs w:val="28"/>
        </w:rPr>
        <w:t xml:space="preserve">the quality of calculations </w:t>
      </w:r>
      <w:r>
        <w:rPr>
          <w:bCs/>
          <w:kern w:val="32"/>
          <w:szCs w:val="28"/>
          <w:lang w:val="kk-KZ"/>
        </w:rPr>
        <w:t xml:space="preserve">of macroeconomic </w:t>
      </w:r>
      <w:r w:rsidRPr="00F12902">
        <w:rPr>
          <w:bCs/>
          <w:kern w:val="32"/>
          <w:szCs w:val="28"/>
        </w:rPr>
        <w:t>indicators.</w:t>
      </w:r>
    </w:p>
    <w:p w:rsidR="006C4312" w:rsidRPr="00F12902" w:rsidRDefault="006C4312" w:rsidP="006C4312">
      <w:pPr>
        <w:pStyle w:val="a5"/>
        <w:numPr>
          <w:ilvl w:val="0"/>
          <w:numId w:val="1"/>
        </w:numPr>
        <w:tabs>
          <w:tab w:val="left" w:pos="851"/>
          <w:tab w:val="left" w:pos="1134"/>
        </w:tabs>
        <w:ind w:left="0" w:firstLine="709"/>
        <w:rPr>
          <w:szCs w:val="28"/>
        </w:rPr>
      </w:pPr>
      <w:r w:rsidRPr="00F12902">
        <w:rPr>
          <w:bCs/>
          <w:kern w:val="32"/>
          <w:szCs w:val="28"/>
        </w:rPr>
        <w:t xml:space="preserve">The following definitions are used in this Methodology </w:t>
      </w:r>
      <w:r w:rsidRPr="00F12902">
        <w:rPr>
          <w:szCs w:val="28"/>
        </w:rPr>
        <w:t>:</w:t>
      </w:r>
    </w:p>
    <w:p w:rsidR="006C4312" w:rsidRPr="00F12902" w:rsidRDefault="006C4312" w:rsidP="006C4312">
      <w:pPr>
        <w:pStyle w:val="aa"/>
        <w:numPr>
          <w:ilvl w:val="0"/>
          <w:numId w:val="8"/>
        </w:numPr>
        <w:tabs>
          <w:tab w:val="left" w:pos="851"/>
          <w:tab w:val="left" w:pos="1134"/>
        </w:tabs>
        <w:autoSpaceDE w:val="0"/>
        <w:autoSpaceDN w:val="0"/>
        <w:adjustRightInd w:val="0"/>
        <w:spacing w:after="0" w:line="240" w:lineRule="auto"/>
        <w:ind w:left="0" w:firstLine="708"/>
        <w:jc w:val="both"/>
        <w:rPr>
          <w:rFonts w:ascii="Times New Roman" w:hAnsi="Times New Roman"/>
          <w:sz w:val="28"/>
          <w:szCs w:val="28"/>
        </w:rPr>
      </w:pPr>
      <w:r w:rsidRPr="00F12902">
        <w:rPr>
          <w:rFonts w:ascii="Times New Roman" w:hAnsi="Times New Roman"/>
          <w:sz w:val="28"/>
          <w:szCs w:val="28"/>
        </w:rPr>
        <w:t xml:space="preserve">nominal holding gain on a financial asset </w:t>
      </w:r>
      <w:r w:rsidRPr="00F12902">
        <w:rPr>
          <w:szCs w:val="28"/>
        </w:rPr>
        <w:t xml:space="preserve">is </w:t>
      </w:r>
      <w:r w:rsidRPr="00F12902">
        <w:rPr>
          <w:rFonts w:ascii="Times New Roman" w:hAnsi="Times New Roman"/>
          <w:sz w:val="28"/>
          <w:szCs w:val="28"/>
        </w:rPr>
        <w:t>an increase in the value of an asset that is not the result of transactions with assets (including interest earned over a period of time) and other changes in the volume of assets;</w:t>
      </w:r>
    </w:p>
    <w:p w:rsidR="006C4312" w:rsidRPr="00F12902" w:rsidRDefault="006C4312" w:rsidP="006C4312">
      <w:pPr>
        <w:pStyle w:val="aa"/>
        <w:numPr>
          <w:ilvl w:val="0"/>
          <w:numId w:val="8"/>
        </w:numPr>
        <w:tabs>
          <w:tab w:val="left" w:pos="851"/>
          <w:tab w:val="left" w:pos="1134"/>
        </w:tabs>
        <w:autoSpaceDE w:val="0"/>
        <w:autoSpaceDN w:val="0"/>
        <w:adjustRightInd w:val="0"/>
        <w:spacing w:after="0" w:line="240" w:lineRule="auto"/>
        <w:ind w:left="0" w:firstLine="708"/>
        <w:jc w:val="both"/>
        <w:rPr>
          <w:rFonts w:ascii="Times New Roman" w:hAnsi="Times New Roman"/>
          <w:sz w:val="28"/>
          <w:szCs w:val="28"/>
        </w:rPr>
      </w:pPr>
      <w:r w:rsidRPr="00F12902">
        <w:rPr>
          <w:rFonts w:ascii="Times New Roman" w:hAnsi="Times New Roman"/>
          <w:sz w:val="28"/>
          <w:szCs w:val="28"/>
        </w:rPr>
        <w:t xml:space="preserve">nominal holding gain on a non-financial asset </w:t>
      </w:r>
      <w:r w:rsidRPr="00F12902">
        <w:rPr>
          <w:szCs w:val="28"/>
        </w:rPr>
        <w:t xml:space="preserve">is </w:t>
      </w:r>
      <w:r w:rsidRPr="00F12902">
        <w:rPr>
          <w:rFonts w:ascii="Times New Roman" w:hAnsi="Times New Roman"/>
          <w:sz w:val="28"/>
          <w:szCs w:val="28"/>
        </w:rPr>
        <w:t>the value of the economic benefit received by the owner of an asset as a result of a change in its price over a certain period of time;</w:t>
      </w:r>
    </w:p>
    <w:p w:rsidR="006C4312" w:rsidRPr="00F12902" w:rsidRDefault="006C4312" w:rsidP="006C4312">
      <w:pPr>
        <w:pStyle w:val="aa"/>
        <w:numPr>
          <w:ilvl w:val="0"/>
          <w:numId w:val="8"/>
        </w:numPr>
        <w:tabs>
          <w:tab w:val="left" w:pos="851"/>
          <w:tab w:val="left" w:pos="1134"/>
        </w:tabs>
        <w:autoSpaceDE w:val="0"/>
        <w:autoSpaceDN w:val="0"/>
        <w:adjustRightInd w:val="0"/>
        <w:spacing w:after="0" w:line="240" w:lineRule="auto"/>
        <w:ind w:left="0" w:firstLine="708"/>
        <w:jc w:val="both"/>
        <w:rPr>
          <w:rFonts w:ascii="Times New Roman" w:hAnsi="Times New Roman"/>
          <w:sz w:val="28"/>
          <w:szCs w:val="28"/>
        </w:rPr>
      </w:pPr>
      <w:r w:rsidRPr="00F12902">
        <w:rPr>
          <w:rFonts w:ascii="Times New Roman" w:hAnsi="Times New Roman"/>
          <w:sz w:val="28"/>
          <w:szCs w:val="28"/>
        </w:rPr>
        <w:t>material working capital -</w:t>
      </w:r>
      <w:r w:rsidRPr="00F12902">
        <w:rPr>
          <w:rFonts w:ascii="Times New Roman" w:hAnsi="Times New Roman"/>
          <w:sz w:val="28"/>
          <w:szCs w:val="28"/>
          <w:lang w:val="kk-KZ"/>
        </w:rPr>
        <w:t xml:space="preserve"> </w:t>
      </w:r>
      <w:r w:rsidRPr="00F12902">
        <w:rPr>
          <w:rFonts w:ascii="Times New Roman" w:hAnsi="Times New Roman"/>
          <w:sz w:val="28"/>
          <w:szCs w:val="28"/>
        </w:rPr>
        <w:t xml:space="preserve">produced assets consisting of goods and services that originated in the current period or earlier and are intended for sale, use in production or for other uses at a later date </w:t>
      </w:r>
      <w:r w:rsidRPr="00F12902">
        <w:rPr>
          <w:rFonts w:ascii="Times New Roman" w:hAnsi="Times New Roman"/>
          <w:sz w:val="28"/>
          <w:szCs w:val="28"/>
          <w:lang w:val="kk-KZ"/>
        </w:rPr>
        <w:t>;</w:t>
      </w:r>
    </w:p>
    <w:p w:rsidR="006C4312" w:rsidRPr="00F12902" w:rsidRDefault="006C4312" w:rsidP="006C4312">
      <w:pPr>
        <w:pStyle w:val="aa"/>
        <w:numPr>
          <w:ilvl w:val="0"/>
          <w:numId w:val="8"/>
        </w:numPr>
        <w:tabs>
          <w:tab w:val="left" w:pos="851"/>
          <w:tab w:val="left" w:pos="1134"/>
        </w:tabs>
        <w:autoSpaceDE w:val="0"/>
        <w:autoSpaceDN w:val="0"/>
        <w:adjustRightInd w:val="0"/>
        <w:spacing w:after="0" w:line="240" w:lineRule="auto"/>
        <w:ind w:left="0" w:firstLine="708"/>
        <w:jc w:val="both"/>
        <w:rPr>
          <w:rFonts w:ascii="Times New Roman" w:hAnsi="Times New Roman"/>
          <w:sz w:val="28"/>
          <w:szCs w:val="28"/>
        </w:rPr>
      </w:pPr>
      <w:r w:rsidRPr="00F12902">
        <w:rPr>
          <w:rFonts w:ascii="Times New Roman" w:hAnsi="Times New Roman"/>
          <w:sz w:val="28"/>
          <w:szCs w:val="28"/>
        </w:rPr>
        <w:t xml:space="preserve">nominal holding gain on a liability </w:t>
      </w:r>
      <w:r w:rsidRPr="00F12902">
        <w:rPr>
          <w:szCs w:val="28"/>
        </w:rPr>
        <w:t xml:space="preserve">is </w:t>
      </w:r>
      <w:r w:rsidRPr="00F12902">
        <w:rPr>
          <w:rFonts w:ascii="Times New Roman" w:hAnsi="Times New Roman"/>
          <w:sz w:val="28"/>
          <w:szCs w:val="28"/>
        </w:rPr>
        <w:t>a decrease in the value of a liability that is not the result of transactions or other changes in volume;</w:t>
      </w:r>
    </w:p>
    <w:p w:rsidR="006C4312" w:rsidRPr="00F12902" w:rsidRDefault="006C4312" w:rsidP="006C4312">
      <w:pPr>
        <w:pStyle w:val="aa"/>
        <w:numPr>
          <w:ilvl w:val="0"/>
          <w:numId w:val="8"/>
        </w:numPr>
        <w:tabs>
          <w:tab w:val="left" w:pos="851"/>
          <w:tab w:val="left" w:pos="1134"/>
        </w:tabs>
        <w:autoSpaceDE w:val="0"/>
        <w:autoSpaceDN w:val="0"/>
        <w:adjustRightInd w:val="0"/>
        <w:spacing w:after="0" w:line="240" w:lineRule="auto"/>
        <w:ind w:left="0" w:firstLine="708"/>
        <w:jc w:val="both"/>
        <w:rPr>
          <w:rFonts w:ascii="Times New Roman" w:hAnsi="Times New Roman"/>
          <w:sz w:val="28"/>
          <w:szCs w:val="28"/>
        </w:rPr>
      </w:pPr>
      <w:r w:rsidRPr="00F12902">
        <w:rPr>
          <w:rFonts w:ascii="Times New Roman" w:hAnsi="Times New Roman"/>
          <w:sz w:val="28"/>
          <w:szCs w:val="28"/>
        </w:rPr>
        <w:t>real holding gain (loss) - the amount by which the value of an asset increases (decreases) compared to the neutral holding gain for a period of time in the absence of transactions and other changes in the volume of assets;</w:t>
      </w:r>
    </w:p>
    <w:p w:rsidR="006C4312" w:rsidRPr="00F12902" w:rsidRDefault="006C4312" w:rsidP="006C4312">
      <w:pPr>
        <w:pStyle w:val="aa"/>
        <w:numPr>
          <w:ilvl w:val="0"/>
          <w:numId w:val="8"/>
        </w:numPr>
        <w:tabs>
          <w:tab w:val="left" w:pos="851"/>
          <w:tab w:val="left" w:pos="1134"/>
        </w:tabs>
        <w:autoSpaceDE w:val="0"/>
        <w:autoSpaceDN w:val="0"/>
        <w:adjustRightInd w:val="0"/>
        <w:spacing w:after="0" w:line="240" w:lineRule="auto"/>
        <w:ind w:left="0" w:firstLine="708"/>
        <w:jc w:val="both"/>
        <w:rPr>
          <w:rFonts w:ascii="Times New Roman" w:hAnsi="Times New Roman"/>
          <w:sz w:val="28"/>
          <w:szCs w:val="28"/>
        </w:rPr>
      </w:pPr>
      <w:r w:rsidRPr="00F12902">
        <w:rPr>
          <w:rFonts w:ascii="Times New Roman" w:hAnsi="Times New Roman"/>
          <w:sz w:val="28"/>
          <w:szCs w:val="28"/>
        </w:rPr>
        <w:t xml:space="preserve">fixed assets - produced assets that are used repeatedly or continuously in production processes for more than one year </w:t>
      </w:r>
      <w:r w:rsidRPr="00F12902">
        <w:rPr>
          <w:rFonts w:ascii="Times New Roman" w:hAnsi="Times New Roman"/>
          <w:sz w:val="28"/>
          <w:szCs w:val="28"/>
          <w:lang w:val="kk-KZ"/>
        </w:rPr>
        <w:t>;</w:t>
      </w:r>
    </w:p>
    <w:p w:rsidR="006C4312" w:rsidRPr="00417B33" w:rsidRDefault="006C4312" w:rsidP="006C4312">
      <w:pPr>
        <w:pStyle w:val="aa"/>
        <w:numPr>
          <w:ilvl w:val="0"/>
          <w:numId w:val="8"/>
        </w:numPr>
        <w:tabs>
          <w:tab w:val="left" w:pos="851"/>
          <w:tab w:val="left" w:pos="1134"/>
        </w:tabs>
        <w:autoSpaceDE w:val="0"/>
        <w:autoSpaceDN w:val="0"/>
        <w:adjustRightInd w:val="0"/>
        <w:spacing w:after="0" w:line="240" w:lineRule="auto"/>
        <w:ind w:left="0" w:firstLine="708"/>
        <w:jc w:val="both"/>
        <w:rPr>
          <w:rFonts w:ascii="Times New Roman" w:hAnsi="Times New Roman"/>
          <w:sz w:val="28"/>
          <w:szCs w:val="28"/>
        </w:rPr>
      </w:pPr>
      <w:r w:rsidRPr="00417B33">
        <w:rPr>
          <w:rFonts w:ascii="Times New Roman" w:hAnsi="Times New Roman"/>
          <w:sz w:val="28"/>
          <w:szCs w:val="28"/>
          <w:lang w:val="kk-KZ"/>
        </w:rPr>
        <w:lastRenderedPageBreak/>
        <w:t xml:space="preserve">consumer price index </w:t>
      </w:r>
      <w:r w:rsidRPr="00417B33">
        <w:rPr>
          <w:rFonts w:ascii="Times New Roman" w:hAnsi="Times New Roman"/>
          <w:sz w:val="28"/>
          <w:szCs w:val="28"/>
        </w:rPr>
        <w:t>-</w:t>
      </w:r>
      <w:r w:rsidRPr="00417B33">
        <w:rPr>
          <w:rFonts w:ascii="Times New Roman" w:hAnsi="Times New Roman"/>
          <w:sz w:val="28"/>
          <w:szCs w:val="28"/>
          <w:lang w:val="kk-KZ"/>
        </w:rPr>
        <w:t xml:space="preserve"> </w:t>
      </w:r>
      <w:r w:rsidRPr="00417B33">
        <w:rPr>
          <w:rFonts w:ascii="Times New Roman" w:hAnsi="Times New Roman"/>
          <w:sz w:val="28"/>
          <w:szCs w:val="28"/>
        </w:rPr>
        <w:t xml:space="preserve">generally accepted measure of inflation </w:t>
      </w:r>
      <w:r w:rsidRPr="00417B33">
        <w:rPr>
          <w:rFonts w:ascii="Times New Roman" w:hAnsi="Times New Roman"/>
          <w:sz w:val="28"/>
          <w:szCs w:val="28"/>
          <w:lang w:val="kk-KZ"/>
        </w:rPr>
        <w:t xml:space="preserve">characterizing </w:t>
      </w:r>
      <w:r w:rsidRPr="00417B33">
        <w:rPr>
          <w:rFonts w:ascii="Times New Roman" w:hAnsi="Times New Roman"/>
          <w:sz w:val="28"/>
          <w:szCs w:val="28"/>
        </w:rPr>
        <w:t>the change over time in the average price level</w:t>
      </w:r>
      <w:r w:rsidRPr="00417B33">
        <w:rPr>
          <w:rFonts w:ascii="Times New Roman" w:hAnsi="Times New Roman"/>
          <w:sz w:val="28"/>
          <w:szCs w:val="28"/>
          <w:lang w:val="kk-KZ"/>
        </w:rPr>
        <w:t xml:space="preserve"> </w:t>
      </w:r>
      <w:r w:rsidRPr="00417B33">
        <w:rPr>
          <w:rFonts w:ascii="Times New Roman" w:hAnsi="Times New Roman"/>
          <w:sz w:val="28"/>
          <w:szCs w:val="28"/>
        </w:rPr>
        <w:t>for a fixed basket of goods and services purchased by the population for</w:t>
      </w:r>
      <w:r w:rsidRPr="00417B33">
        <w:rPr>
          <w:rFonts w:ascii="Times New Roman" w:hAnsi="Times New Roman"/>
          <w:sz w:val="28"/>
          <w:szCs w:val="28"/>
          <w:lang w:val="kk-KZ"/>
        </w:rPr>
        <w:t xml:space="preserve"> </w:t>
      </w:r>
      <w:r w:rsidRPr="00417B33">
        <w:rPr>
          <w:rFonts w:ascii="Times New Roman" w:hAnsi="Times New Roman"/>
          <w:sz w:val="28"/>
          <w:szCs w:val="28"/>
        </w:rPr>
        <w:t xml:space="preserve">personal consumption </w:t>
      </w:r>
      <w:r w:rsidRPr="00417B33">
        <w:rPr>
          <w:rFonts w:ascii="Times New Roman" w:hAnsi="Times New Roman"/>
          <w:sz w:val="28"/>
          <w:szCs w:val="28"/>
          <w:lang w:val="kk-KZ"/>
        </w:rPr>
        <w:t>.</w:t>
      </w:r>
    </w:p>
    <w:p w:rsidR="006C4312" w:rsidRPr="00F12902" w:rsidRDefault="006C4312" w:rsidP="006C4312">
      <w:pPr>
        <w:pStyle w:val="aa"/>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rPr>
        <w:t>The information base for compiling a revaluation account is:</w:t>
      </w:r>
    </w:p>
    <w:p w:rsidR="006C4312" w:rsidRPr="00F12902" w:rsidRDefault="006C4312" w:rsidP="006C4312">
      <w:pPr>
        <w:pStyle w:val="aa"/>
        <w:tabs>
          <w:tab w:val="left" w:pos="851"/>
          <w:tab w:val="left" w:pos="993"/>
        </w:tabs>
        <w:autoSpaceDE w:val="0"/>
        <w:autoSpaceDN w:val="0"/>
        <w:adjustRightInd w:val="0"/>
        <w:spacing w:after="0" w:line="240" w:lineRule="auto"/>
        <w:ind w:left="709"/>
        <w:jc w:val="both"/>
        <w:rPr>
          <w:rFonts w:ascii="Times New Roman" w:hAnsi="Times New Roman"/>
          <w:sz w:val="28"/>
          <w:szCs w:val="28"/>
        </w:rPr>
      </w:pPr>
      <w:r w:rsidRPr="00F12902">
        <w:rPr>
          <w:rFonts w:ascii="Times New Roman" w:hAnsi="Times New Roman"/>
          <w:sz w:val="28"/>
          <w:szCs w:val="28"/>
        </w:rPr>
        <w:t>1) official statistical information;</w:t>
      </w:r>
    </w:p>
    <w:p w:rsidR="006C4312" w:rsidRPr="00F12902" w:rsidRDefault="006C4312" w:rsidP="006C4312">
      <w:pPr>
        <w:pStyle w:val="aa"/>
        <w:tabs>
          <w:tab w:val="left" w:pos="851"/>
          <w:tab w:val="left" w:pos="993"/>
        </w:tabs>
        <w:autoSpaceDE w:val="0"/>
        <w:autoSpaceDN w:val="0"/>
        <w:adjustRightInd w:val="0"/>
        <w:spacing w:after="0" w:line="240" w:lineRule="auto"/>
        <w:ind w:left="709"/>
        <w:jc w:val="both"/>
        <w:rPr>
          <w:rFonts w:ascii="Times New Roman" w:hAnsi="Times New Roman"/>
          <w:sz w:val="28"/>
          <w:szCs w:val="28"/>
        </w:rPr>
      </w:pPr>
      <w:r w:rsidRPr="00F12902">
        <w:rPr>
          <w:rFonts w:ascii="Times New Roman" w:hAnsi="Times New Roman"/>
          <w:sz w:val="28"/>
          <w:szCs w:val="28"/>
        </w:rPr>
        <w:t>2) administrative data from administrative sources.</w:t>
      </w:r>
    </w:p>
    <w:p w:rsidR="006C4312" w:rsidRPr="00F12902" w:rsidRDefault="006C4312" w:rsidP="006C4312">
      <w:pPr>
        <w:tabs>
          <w:tab w:val="left" w:pos="851"/>
        </w:tabs>
        <w:spacing w:after="0" w:line="240" w:lineRule="auto"/>
        <w:rPr>
          <w:rFonts w:ascii="Times New Roman" w:hAnsi="Times New Roman"/>
          <w:sz w:val="28"/>
          <w:szCs w:val="28"/>
        </w:rPr>
      </w:pPr>
    </w:p>
    <w:p w:rsidR="006C4312" w:rsidRPr="00F12902" w:rsidRDefault="006C4312" w:rsidP="006C4312">
      <w:pPr>
        <w:tabs>
          <w:tab w:val="left" w:pos="851"/>
        </w:tabs>
        <w:spacing w:after="0" w:line="240" w:lineRule="auto"/>
        <w:rPr>
          <w:rFonts w:ascii="Times New Roman" w:hAnsi="Times New Roman"/>
          <w:sz w:val="28"/>
          <w:szCs w:val="28"/>
        </w:rPr>
      </w:pPr>
    </w:p>
    <w:p w:rsidR="006C4312" w:rsidRPr="00F12902" w:rsidRDefault="006C4312" w:rsidP="006C4312">
      <w:pPr>
        <w:tabs>
          <w:tab w:val="left" w:pos="851"/>
        </w:tabs>
        <w:spacing w:after="0" w:line="240" w:lineRule="auto"/>
        <w:jc w:val="center"/>
        <w:rPr>
          <w:rFonts w:ascii="Times New Roman" w:hAnsi="Times New Roman"/>
          <w:b/>
          <w:sz w:val="28"/>
          <w:szCs w:val="28"/>
        </w:rPr>
      </w:pPr>
      <w:r w:rsidRPr="00F12902">
        <w:rPr>
          <w:rFonts w:ascii="Times New Roman" w:hAnsi="Times New Roman"/>
          <w:b/>
          <w:sz w:val="28"/>
          <w:szCs w:val="28"/>
        </w:rPr>
        <w:t xml:space="preserve">Chapter 2. Contents of the </w:t>
      </w:r>
      <w:r w:rsidR="0033297E">
        <w:rPr>
          <w:rFonts w:ascii="Times New Roman" w:hAnsi="Times New Roman"/>
          <w:b/>
          <w:sz w:val="28"/>
          <w:szCs w:val="28"/>
        </w:rPr>
        <w:t>r</w:t>
      </w:r>
      <w:r w:rsidRPr="00F12902">
        <w:rPr>
          <w:rFonts w:ascii="Times New Roman" w:hAnsi="Times New Roman"/>
          <w:b/>
          <w:sz w:val="28"/>
          <w:szCs w:val="28"/>
        </w:rPr>
        <w:t xml:space="preserve">evaluation </w:t>
      </w:r>
      <w:r w:rsidR="0033297E">
        <w:rPr>
          <w:rFonts w:ascii="Times New Roman" w:hAnsi="Times New Roman"/>
          <w:b/>
          <w:sz w:val="28"/>
          <w:szCs w:val="28"/>
        </w:rPr>
        <w:t>a</w:t>
      </w:r>
      <w:r w:rsidRPr="00F12902">
        <w:rPr>
          <w:rFonts w:ascii="Times New Roman" w:hAnsi="Times New Roman"/>
          <w:b/>
          <w:sz w:val="28"/>
          <w:szCs w:val="28"/>
        </w:rPr>
        <w:t>ccount</w:t>
      </w:r>
    </w:p>
    <w:p w:rsidR="006C4312" w:rsidRPr="00F12902" w:rsidRDefault="006C4312" w:rsidP="006C4312">
      <w:pPr>
        <w:tabs>
          <w:tab w:val="left" w:pos="851"/>
        </w:tabs>
        <w:spacing w:after="0" w:line="240" w:lineRule="auto"/>
        <w:rPr>
          <w:rFonts w:ascii="Times New Roman" w:hAnsi="Times New Roman"/>
          <w:sz w:val="28"/>
          <w:szCs w:val="28"/>
        </w:rPr>
      </w:pPr>
    </w:p>
    <w:p w:rsidR="006C4312" w:rsidRPr="00F12902" w:rsidRDefault="006C4312" w:rsidP="006C4312">
      <w:pPr>
        <w:pStyle w:val="aa"/>
        <w:numPr>
          <w:ilvl w:val="0"/>
          <w:numId w:val="1"/>
        </w:numPr>
        <w:tabs>
          <w:tab w:val="left" w:pos="851"/>
          <w:tab w:val="left" w:pos="1134"/>
          <w:tab w:val="left" w:pos="1418"/>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rPr>
        <w:t xml:space="preserve">The revaluation account (hereinafter - Account) reflects the holding gains or losses </w:t>
      </w:r>
      <w:r w:rsidRPr="00F12902">
        <w:rPr>
          <w:rFonts w:ascii="Times New Roman" w:hAnsi="Times New Roman"/>
          <w:sz w:val="28"/>
          <w:szCs w:val="28"/>
          <w:lang w:val="kk-KZ"/>
        </w:rPr>
        <w:t xml:space="preserve">and </w:t>
      </w:r>
      <w:r w:rsidRPr="00F12902">
        <w:rPr>
          <w:rFonts w:ascii="Times New Roman" w:hAnsi="Times New Roman"/>
          <w:sz w:val="28"/>
          <w:szCs w:val="28"/>
        </w:rPr>
        <w:t>received during the reporting period to the owners of non-financial assets and financial assets and liabilities.</w:t>
      </w:r>
    </w:p>
    <w:p w:rsidR="006C4312" w:rsidRPr="00F12902" w:rsidRDefault="006C4312" w:rsidP="006C4312">
      <w:pPr>
        <w:pStyle w:val="aa"/>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lang w:val="kk-KZ"/>
        </w:rPr>
        <w:t>Holding gains and losses affect non-financial and financial assets. There are three types of holding gains:</w:t>
      </w:r>
    </w:p>
    <w:p w:rsidR="006C4312" w:rsidRPr="00F12902" w:rsidRDefault="006C4312" w:rsidP="006C4312">
      <w:pPr>
        <w:pStyle w:val="aa"/>
        <w:numPr>
          <w:ilvl w:val="0"/>
          <w:numId w:val="24"/>
        </w:numPr>
        <w:tabs>
          <w:tab w:val="left" w:pos="851"/>
          <w:tab w:val="left" w:pos="1134"/>
        </w:tabs>
        <w:autoSpaceDE w:val="0"/>
        <w:autoSpaceDN w:val="0"/>
        <w:adjustRightInd w:val="0"/>
        <w:spacing w:after="0" w:line="240" w:lineRule="auto"/>
        <w:jc w:val="both"/>
        <w:rPr>
          <w:rFonts w:ascii="Times New Roman" w:hAnsi="Times New Roman"/>
          <w:sz w:val="28"/>
          <w:szCs w:val="28"/>
          <w:lang w:val="kk-KZ"/>
        </w:rPr>
      </w:pPr>
      <w:r w:rsidRPr="00F12902">
        <w:rPr>
          <w:rFonts w:ascii="Times New Roman" w:hAnsi="Times New Roman"/>
          <w:sz w:val="28"/>
          <w:szCs w:val="28"/>
        </w:rPr>
        <w:t>nominal holding gain;</w:t>
      </w:r>
    </w:p>
    <w:p w:rsidR="006C4312" w:rsidRPr="00F12902" w:rsidRDefault="006C4312" w:rsidP="006C4312">
      <w:pPr>
        <w:pStyle w:val="aa"/>
        <w:numPr>
          <w:ilvl w:val="0"/>
          <w:numId w:val="24"/>
        </w:numPr>
        <w:tabs>
          <w:tab w:val="left" w:pos="851"/>
          <w:tab w:val="left" w:pos="1134"/>
        </w:tabs>
        <w:autoSpaceDE w:val="0"/>
        <w:autoSpaceDN w:val="0"/>
        <w:adjustRightInd w:val="0"/>
        <w:spacing w:after="0" w:line="240" w:lineRule="auto"/>
        <w:jc w:val="both"/>
        <w:rPr>
          <w:rFonts w:ascii="Times New Roman" w:hAnsi="Times New Roman"/>
          <w:sz w:val="28"/>
          <w:szCs w:val="28"/>
          <w:lang w:val="kk-KZ"/>
        </w:rPr>
      </w:pPr>
      <w:r w:rsidRPr="00F12902">
        <w:rPr>
          <w:rFonts w:ascii="Times New Roman" w:hAnsi="Times New Roman"/>
          <w:sz w:val="28"/>
          <w:szCs w:val="28"/>
        </w:rPr>
        <w:t xml:space="preserve">neutral holding gain </w:t>
      </w:r>
      <w:r w:rsidRPr="00F12902">
        <w:rPr>
          <w:rFonts w:ascii="Times New Roman" w:hAnsi="Times New Roman"/>
          <w:sz w:val="28"/>
          <w:szCs w:val="28"/>
          <w:lang w:val="kk-KZ"/>
        </w:rPr>
        <w:t>;</w:t>
      </w:r>
    </w:p>
    <w:p w:rsidR="006C4312" w:rsidRPr="00F12902" w:rsidRDefault="006C4312" w:rsidP="006C4312">
      <w:pPr>
        <w:pStyle w:val="aa"/>
        <w:numPr>
          <w:ilvl w:val="0"/>
          <w:numId w:val="24"/>
        </w:numPr>
        <w:tabs>
          <w:tab w:val="left" w:pos="851"/>
          <w:tab w:val="left" w:pos="1418"/>
        </w:tabs>
        <w:autoSpaceDE w:val="0"/>
        <w:autoSpaceDN w:val="0"/>
        <w:adjustRightInd w:val="0"/>
        <w:spacing w:after="0" w:line="240" w:lineRule="auto"/>
        <w:jc w:val="both"/>
        <w:rPr>
          <w:rFonts w:ascii="Times New Roman" w:hAnsi="Times New Roman"/>
          <w:sz w:val="28"/>
          <w:szCs w:val="28"/>
          <w:lang w:val="kk-KZ"/>
        </w:rPr>
      </w:pPr>
      <w:r w:rsidRPr="00F12902">
        <w:rPr>
          <w:rFonts w:ascii="Times New Roman" w:hAnsi="Times New Roman"/>
          <w:sz w:val="28"/>
          <w:szCs w:val="28"/>
        </w:rPr>
        <w:t>real holding gain.</w:t>
      </w:r>
    </w:p>
    <w:p w:rsidR="006C4312" w:rsidRPr="00F12902" w:rsidRDefault="006C4312" w:rsidP="006C4312">
      <w:pPr>
        <w:pStyle w:val="aa"/>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rPr>
        <w:t>Each of these three types of holding gains or losses is classified into major asset and liability groups. Liabilities relate only to financial assets.</w:t>
      </w:r>
    </w:p>
    <w:p w:rsidR="006C4312" w:rsidRPr="00F12902" w:rsidRDefault="006C4312" w:rsidP="006C4312">
      <w:pPr>
        <w:pStyle w:val="aa"/>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lang w:val="kk-KZ"/>
        </w:rPr>
        <w:t xml:space="preserve">At the beginning </w:t>
      </w:r>
      <w:r w:rsidRPr="00F12902">
        <w:rPr>
          <w:rFonts w:ascii="Times New Roman" w:hAnsi="Times New Roman"/>
          <w:sz w:val="28"/>
          <w:szCs w:val="28"/>
        </w:rPr>
        <w:t xml:space="preserve">of the </w:t>
      </w:r>
      <w:r w:rsidRPr="00F12902">
        <w:rPr>
          <w:rFonts w:ascii="Times New Roman" w:hAnsi="Times New Roman"/>
          <w:sz w:val="28"/>
          <w:szCs w:val="28"/>
          <w:lang w:val="kk-KZ"/>
        </w:rPr>
        <w:t xml:space="preserve">Account </w:t>
      </w:r>
      <w:r w:rsidRPr="00F12902">
        <w:rPr>
          <w:rFonts w:ascii="Times New Roman" w:hAnsi="Times New Roman"/>
          <w:sz w:val="28"/>
          <w:szCs w:val="28"/>
        </w:rPr>
        <w:t xml:space="preserve">, nominal </w:t>
      </w:r>
      <w:r w:rsidRPr="00F12902">
        <w:rPr>
          <w:rFonts w:ascii="Times New Roman" w:hAnsi="Times New Roman"/>
          <w:sz w:val="28"/>
          <w:szCs w:val="28"/>
          <w:lang w:val="kk-KZ"/>
        </w:rPr>
        <w:t>holding gains and</w:t>
      </w:r>
      <w:r w:rsidRPr="00F12902">
        <w:rPr>
          <w:rFonts w:ascii="Times New Roman" w:hAnsi="Times New Roman"/>
          <w:sz w:val="28"/>
          <w:szCs w:val="28"/>
        </w:rPr>
        <w:t xml:space="preserve"> </w:t>
      </w:r>
      <w:r w:rsidRPr="00F12902">
        <w:rPr>
          <w:rFonts w:ascii="Times New Roman" w:hAnsi="Times New Roman"/>
          <w:sz w:val="28"/>
          <w:szCs w:val="28"/>
          <w:lang w:val="kk-KZ"/>
        </w:rPr>
        <w:t xml:space="preserve"> </w:t>
      </w:r>
      <w:r w:rsidRPr="00F12902">
        <w:rPr>
          <w:rFonts w:ascii="Times New Roman" w:hAnsi="Times New Roman"/>
          <w:sz w:val="28"/>
          <w:szCs w:val="28"/>
        </w:rPr>
        <w:t xml:space="preserve">and loss </w:t>
      </w:r>
      <w:r w:rsidRPr="00F12902">
        <w:rPr>
          <w:rFonts w:ascii="Times New Roman" w:hAnsi="Times New Roman"/>
          <w:sz w:val="28"/>
          <w:szCs w:val="28"/>
          <w:lang w:val="kk-KZ"/>
        </w:rPr>
        <w:t xml:space="preserve">and </w:t>
      </w:r>
      <w:r w:rsidRPr="00F12902">
        <w:rPr>
          <w:rFonts w:ascii="Times New Roman" w:hAnsi="Times New Roman"/>
          <w:sz w:val="28"/>
          <w:szCs w:val="28"/>
        </w:rPr>
        <w:t>, which reflect the full value of the change in various assets and liabilities due to changes in the prices of these assets and liabilities since the beginning of the reporting period or for the period between the time the asset enters inventory and the time it leaves inventory.</w:t>
      </w:r>
    </w:p>
    <w:p w:rsidR="006C4312" w:rsidRPr="00F12902" w:rsidRDefault="006C4312" w:rsidP="006C4312">
      <w:pPr>
        <w:pStyle w:val="aa"/>
        <w:numPr>
          <w:ilvl w:val="0"/>
          <w:numId w:val="1"/>
        </w:numPr>
        <w:tabs>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rPr>
        <w:t xml:space="preserve">Nominal holding gains and losses on </w:t>
      </w:r>
      <w:r w:rsidRPr="00F12902">
        <w:rPr>
          <w:rFonts w:ascii="Times New Roman" w:hAnsi="Times New Roman"/>
          <w:sz w:val="28"/>
          <w:szCs w:val="28"/>
          <w:lang w:val="kk-KZ"/>
        </w:rPr>
        <w:t xml:space="preserve">and </w:t>
      </w:r>
      <w:r w:rsidRPr="00F12902">
        <w:rPr>
          <w:rFonts w:ascii="Times New Roman" w:hAnsi="Times New Roman"/>
          <w:sz w:val="28"/>
          <w:szCs w:val="28"/>
        </w:rPr>
        <w:t xml:space="preserve">in respect of assets are recorded on the left side of the Account, and nominal holding gains and losses on </w:t>
      </w:r>
      <w:r w:rsidRPr="00F12902">
        <w:rPr>
          <w:rFonts w:ascii="Times New Roman" w:hAnsi="Times New Roman"/>
          <w:sz w:val="28"/>
          <w:szCs w:val="28"/>
          <w:lang w:val="kk-KZ"/>
        </w:rPr>
        <w:t xml:space="preserve">and </w:t>
      </w:r>
      <w:r w:rsidRPr="00F12902">
        <w:rPr>
          <w:rFonts w:ascii="Times New Roman" w:hAnsi="Times New Roman"/>
          <w:sz w:val="28"/>
          <w:szCs w:val="28"/>
        </w:rPr>
        <w:t>in respect of liabilities are recorded on the right side of the account. A positive liability revaluation is equivalent to a nominal holding loss, and a negative liability revaluation is equivalent to a nominal holding gain.</w:t>
      </w:r>
    </w:p>
    <w:p w:rsidR="006C4312" w:rsidRPr="00F12902" w:rsidRDefault="006C4312" w:rsidP="006C4312">
      <w:pPr>
        <w:pStyle w:val="aa"/>
        <w:numPr>
          <w:ilvl w:val="0"/>
          <w:numId w:val="1"/>
        </w:numPr>
        <w:tabs>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rPr>
        <w:t>The balancing item of the Account is the change in net worth due to the received nominal holding gains and losses.</w:t>
      </w:r>
    </w:p>
    <w:p w:rsidR="006C4312" w:rsidRPr="00F12902" w:rsidRDefault="006C4312" w:rsidP="006C4312">
      <w:pPr>
        <w:pStyle w:val="aa"/>
        <w:numPr>
          <w:ilvl w:val="0"/>
          <w:numId w:val="1"/>
        </w:numPr>
        <w:tabs>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rPr>
        <w:t xml:space="preserve">Nominal holding gains and losses are broken down into two components </w:t>
      </w:r>
      <w:r w:rsidRPr="00F12902">
        <w:rPr>
          <w:rFonts w:ascii="Times New Roman" w:hAnsi="Times New Roman"/>
          <w:sz w:val="28"/>
          <w:szCs w:val="28"/>
          <w:lang w:val="kk-KZ"/>
        </w:rPr>
        <w:t>:</w:t>
      </w:r>
    </w:p>
    <w:p w:rsidR="006C4312" w:rsidRPr="00F12902" w:rsidRDefault="006C4312" w:rsidP="006C4312">
      <w:pPr>
        <w:pStyle w:val="aa"/>
        <w:tabs>
          <w:tab w:val="left" w:pos="851"/>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lang w:val="kk-KZ"/>
        </w:rPr>
        <w:t xml:space="preserve">The first </w:t>
      </w:r>
      <w:r w:rsidRPr="00F12902">
        <w:rPr>
          <w:rFonts w:ascii="Times New Roman" w:hAnsi="Times New Roman"/>
          <w:sz w:val="28"/>
          <w:szCs w:val="28"/>
        </w:rPr>
        <w:t>component shows the amount of revaluation that occurs when the price of assets changes in proportion to the change in the general price level. The value is obtained by applying the price index over the same time period to the initial value of all assets or liabilities. The result of the operation is neutral holding gains and losses, all assets and liabilities are revalued with the condition that their purchasing power is exactly preserved.</w:t>
      </w:r>
    </w:p>
    <w:p w:rsidR="006C4312" w:rsidRPr="00F12902" w:rsidRDefault="006C4312" w:rsidP="006C4312">
      <w:pPr>
        <w:pStyle w:val="aa"/>
        <w:tabs>
          <w:tab w:val="left" w:pos="851"/>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lang w:val="kk-KZ"/>
        </w:rPr>
        <w:t xml:space="preserve">The second </w:t>
      </w:r>
      <w:r w:rsidRPr="00F12902">
        <w:rPr>
          <w:rFonts w:ascii="Times New Roman" w:hAnsi="Times New Roman"/>
          <w:sz w:val="28"/>
          <w:szCs w:val="28"/>
        </w:rPr>
        <w:t xml:space="preserve">component shows the difference between nominal holding gains and losses and neutral holding gains and losses. The difference is called real holding gains and losses. When nominal holding gains and losses </w:t>
      </w:r>
      <w:r w:rsidRPr="001E7411">
        <w:rPr>
          <w:rFonts w:ascii="Times New Roman" w:hAnsi="Times New Roman"/>
          <w:sz w:val="28"/>
          <w:szCs w:val="28"/>
          <w:lang w:val="kk-KZ"/>
        </w:rPr>
        <w:t xml:space="preserve">and </w:t>
      </w:r>
      <w:r w:rsidRPr="001E7411">
        <w:rPr>
          <w:rFonts w:ascii="Times New Roman" w:hAnsi="Times New Roman"/>
          <w:sz w:val="28"/>
          <w:szCs w:val="28"/>
        </w:rPr>
        <w:t xml:space="preserve">are greater than neutral holding gains and losses </w:t>
      </w:r>
      <w:r w:rsidRPr="001E7411">
        <w:rPr>
          <w:rFonts w:ascii="Times New Roman" w:hAnsi="Times New Roman"/>
          <w:sz w:val="28"/>
          <w:szCs w:val="28"/>
          <w:lang w:val="kk-KZ"/>
        </w:rPr>
        <w:t xml:space="preserve">and </w:t>
      </w:r>
      <w:r w:rsidRPr="001E7411">
        <w:rPr>
          <w:rFonts w:ascii="Times New Roman" w:hAnsi="Times New Roman"/>
          <w:sz w:val="28"/>
          <w:szCs w:val="28"/>
        </w:rPr>
        <w:t xml:space="preserve">, real holding gains arise, reflecting an increase on </w:t>
      </w:r>
      <w:r w:rsidRPr="001E7411">
        <w:rPr>
          <w:rFonts w:ascii="Times New Roman" w:hAnsi="Times New Roman"/>
          <w:sz w:val="28"/>
          <w:szCs w:val="28"/>
        </w:rPr>
        <w:lastRenderedPageBreak/>
        <w:t>average in actual asset prices by more (or a decrease by less) than the general price level. The decrease in relative asset prices is the result of real holding losses. The change in net worth due to nominal holding gains and losses is subdivided into the change due to neutral holding gains and losses and the change due to real holding gains and losses.</w:t>
      </w:r>
    </w:p>
    <w:p w:rsidR="006C4312" w:rsidRPr="00F12902" w:rsidRDefault="006C4312" w:rsidP="006C4312">
      <w:pPr>
        <w:pStyle w:val="aa"/>
        <w:numPr>
          <w:ilvl w:val="0"/>
          <w:numId w:val="1"/>
        </w:numPr>
        <w:tabs>
          <w:tab w:val="left" w:pos="851"/>
          <w:tab w:val="left" w:pos="993"/>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F12902">
        <w:rPr>
          <w:rFonts w:ascii="Times New Roman" w:hAnsi="Times New Roman"/>
          <w:sz w:val="28"/>
          <w:szCs w:val="28"/>
        </w:rPr>
        <w:t>The structure of the Account is presented in the appendix to this Methodology.</w:t>
      </w:r>
    </w:p>
    <w:p w:rsidR="006C4312" w:rsidRPr="00F12902" w:rsidRDefault="006C4312" w:rsidP="006C4312">
      <w:pPr>
        <w:pStyle w:val="aa"/>
        <w:tabs>
          <w:tab w:val="left" w:pos="851"/>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p>
    <w:p w:rsidR="006C4312" w:rsidRPr="00F12902" w:rsidRDefault="006C4312" w:rsidP="006C4312">
      <w:pPr>
        <w:pStyle w:val="aa"/>
        <w:tabs>
          <w:tab w:val="left" w:pos="851"/>
          <w:tab w:val="left" w:pos="993"/>
          <w:tab w:val="left" w:pos="1276"/>
        </w:tabs>
        <w:autoSpaceDE w:val="0"/>
        <w:autoSpaceDN w:val="0"/>
        <w:adjustRightInd w:val="0"/>
        <w:spacing w:after="0" w:line="240" w:lineRule="auto"/>
        <w:ind w:left="709"/>
        <w:jc w:val="both"/>
        <w:rPr>
          <w:rFonts w:ascii="Times New Roman" w:hAnsi="Times New Roman"/>
          <w:sz w:val="28"/>
          <w:szCs w:val="28"/>
        </w:rPr>
      </w:pPr>
    </w:p>
    <w:p w:rsidR="006C4312" w:rsidRPr="00F12902" w:rsidRDefault="006C4312" w:rsidP="006C4312">
      <w:pPr>
        <w:tabs>
          <w:tab w:val="left" w:pos="851"/>
          <w:tab w:val="left" w:pos="993"/>
          <w:tab w:val="left" w:pos="1276"/>
        </w:tabs>
        <w:autoSpaceDE w:val="0"/>
        <w:autoSpaceDN w:val="0"/>
        <w:adjustRightInd w:val="0"/>
        <w:spacing w:after="0" w:line="240" w:lineRule="auto"/>
        <w:jc w:val="center"/>
        <w:rPr>
          <w:rFonts w:ascii="Times New Roman" w:hAnsi="Times New Roman"/>
          <w:b/>
          <w:sz w:val="28"/>
          <w:szCs w:val="28"/>
          <w:lang w:val="kk-KZ"/>
        </w:rPr>
      </w:pPr>
      <w:r w:rsidRPr="00F12902">
        <w:rPr>
          <w:rFonts w:ascii="Times New Roman" w:hAnsi="Times New Roman"/>
          <w:b/>
          <w:sz w:val="28"/>
          <w:szCs w:val="28"/>
          <w:lang w:val="kk-KZ"/>
        </w:rPr>
        <w:t xml:space="preserve">Chapter </w:t>
      </w:r>
      <w:r w:rsidRPr="00F12902">
        <w:rPr>
          <w:rFonts w:ascii="Times New Roman" w:hAnsi="Times New Roman"/>
          <w:b/>
          <w:sz w:val="28"/>
          <w:szCs w:val="28"/>
        </w:rPr>
        <w:t xml:space="preserve">3. Calculation of </w:t>
      </w:r>
      <w:r w:rsidRPr="00F12902">
        <w:rPr>
          <w:rFonts w:ascii="Times New Roman" w:hAnsi="Times New Roman"/>
          <w:b/>
          <w:sz w:val="28"/>
          <w:szCs w:val="28"/>
          <w:lang w:val="kk-KZ"/>
        </w:rPr>
        <w:t xml:space="preserve">nominal </w:t>
      </w:r>
      <w:r w:rsidRPr="00F12902">
        <w:rPr>
          <w:rFonts w:ascii="Times New Roman" w:hAnsi="Times New Roman"/>
          <w:b/>
          <w:sz w:val="28"/>
          <w:szCs w:val="28"/>
        </w:rPr>
        <w:t xml:space="preserve">holdings </w:t>
      </w:r>
      <w:r w:rsidRPr="00F12902">
        <w:rPr>
          <w:rFonts w:ascii="Times New Roman" w:hAnsi="Times New Roman"/>
          <w:b/>
          <w:sz w:val="28"/>
          <w:szCs w:val="28"/>
          <w:lang w:val="kk-KZ"/>
        </w:rPr>
        <w:t xml:space="preserve">of </w:t>
      </w:r>
      <w:r w:rsidRPr="00F12902">
        <w:rPr>
          <w:rFonts w:ascii="Times New Roman" w:hAnsi="Times New Roman"/>
          <w:b/>
          <w:sz w:val="28"/>
          <w:szCs w:val="28"/>
        </w:rPr>
        <w:t xml:space="preserve">profits and </w:t>
      </w:r>
      <w:r w:rsidRPr="00F12902">
        <w:rPr>
          <w:rFonts w:ascii="Times New Roman" w:hAnsi="Times New Roman"/>
          <w:b/>
          <w:sz w:val="28"/>
          <w:szCs w:val="28"/>
          <w:lang w:val="kk-KZ"/>
        </w:rPr>
        <w:t>losses</w:t>
      </w:r>
    </w:p>
    <w:p w:rsidR="006C4312" w:rsidRPr="00F12902" w:rsidRDefault="006C4312" w:rsidP="006C4312">
      <w:pPr>
        <w:pStyle w:val="a7"/>
        <w:tabs>
          <w:tab w:val="left" w:pos="851"/>
          <w:tab w:val="left" w:pos="993"/>
          <w:tab w:val="left" w:pos="1276"/>
        </w:tabs>
        <w:spacing w:after="0"/>
        <w:jc w:val="both"/>
        <w:rPr>
          <w:bCs/>
          <w:iCs/>
          <w:sz w:val="28"/>
          <w:szCs w:val="28"/>
        </w:rPr>
      </w:pPr>
    </w:p>
    <w:p w:rsidR="006C4312" w:rsidRDefault="006C4312" w:rsidP="006C4312">
      <w:pPr>
        <w:pStyle w:val="aa"/>
        <w:numPr>
          <w:ilvl w:val="0"/>
          <w:numId w:val="1"/>
        </w:numPr>
        <w:tabs>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F12902">
        <w:rPr>
          <w:rFonts w:ascii="Times New Roman" w:hAnsi="Times New Roman"/>
          <w:sz w:val="28"/>
          <w:szCs w:val="28"/>
        </w:rPr>
        <w:t xml:space="preserve">Nominal holding gains on assets are defined </w:t>
      </w:r>
      <w:r w:rsidRPr="00F12902">
        <w:rPr>
          <w:rFonts w:ascii="Times New Roman" w:hAnsi="Times New Roman"/>
          <w:sz w:val="28"/>
          <w:szCs w:val="28"/>
          <w:lang w:val="kk-KZ"/>
        </w:rPr>
        <w:t xml:space="preserve">as </w:t>
      </w:r>
      <w:r w:rsidRPr="00F12902">
        <w:rPr>
          <w:rFonts w:ascii="Times New Roman" w:hAnsi="Times New Roman"/>
          <w:sz w:val="28"/>
          <w:szCs w:val="28"/>
        </w:rPr>
        <w:t xml:space="preserve">the value of the benefits accumulated by the owner of an asset </w:t>
      </w:r>
      <w:r w:rsidRPr="00F12902">
        <w:rPr>
          <w:rFonts w:ascii="Times New Roman" w:hAnsi="Times New Roman"/>
          <w:sz w:val="28"/>
          <w:szCs w:val="28"/>
          <w:lang w:val="kk-KZ"/>
        </w:rPr>
        <w:t xml:space="preserve">as </w:t>
      </w:r>
      <w:r w:rsidRPr="00F12902">
        <w:rPr>
          <w:rFonts w:ascii="Times New Roman" w:hAnsi="Times New Roman"/>
          <w:sz w:val="28"/>
          <w:szCs w:val="28"/>
        </w:rPr>
        <w:t xml:space="preserve">a result of changes in </w:t>
      </w:r>
      <w:r w:rsidRPr="00F12902">
        <w:rPr>
          <w:rFonts w:ascii="Times New Roman" w:hAnsi="Times New Roman"/>
          <w:sz w:val="28"/>
          <w:szCs w:val="28"/>
          <w:lang w:val="kk-KZ"/>
        </w:rPr>
        <w:t xml:space="preserve">their </w:t>
      </w:r>
      <w:r w:rsidRPr="00F12902">
        <w:rPr>
          <w:rFonts w:ascii="Times New Roman" w:hAnsi="Times New Roman"/>
          <w:sz w:val="28"/>
          <w:szCs w:val="28"/>
        </w:rPr>
        <w:t xml:space="preserve">price </w:t>
      </w:r>
      <w:r w:rsidRPr="00F12902">
        <w:rPr>
          <w:rFonts w:ascii="Times New Roman" w:hAnsi="Times New Roman"/>
          <w:sz w:val="28"/>
          <w:szCs w:val="28"/>
          <w:lang w:val="kk-KZ"/>
        </w:rPr>
        <w:t xml:space="preserve">( </w:t>
      </w:r>
      <w:r w:rsidRPr="00F12902">
        <w:rPr>
          <w:rFonts w:ascii="Times New Roman" w:hAnsi="Times New Roman"/>
          <w:sz w:val="28"/>
          <w:szCs w:val="28"/>
        </w:rPr>
        <w:t xml:space="preserve">monetary value </w:t>
      </w:r>
      <w:r w:rsidRPr="00F12902">
        <w:rPr>
          <w:rFonts w:ascii="Times New Roman" w:hAnsi="Times New Roman"/>
          <w:sz w:val="28"/>
          <w:szCs w:val="28"/>
          <w:lang w:val="kk-KZ"/>
        </w:rPr>
        <w:t xml:space="preserve">) </w:t>
      </w:r>
      <w:r w:rsidRPr="00F12902">
        <w:rPr>
          <w:rFonts w:ascii="Times New Roman" w:hAnsi="Times New Roman"/>
          <w:sz w:val="28"/>
          <w:szCs w:val="28"/>
        </w:rPr>
        <w:t>over time.</w:t>
      </w:r>
    </w:p>
    <w:p w:rsidR="006C4312" w:rsidRDefault="006C4312" w:rsidP="006C4312">
      <w:pPr>
        <w:pStyle w:val="aa"/>
        <w:numPr>
          <w:ilvl w:val="0"/>
          <w:numId w:val="1"/>
        </w:numPr>
        <w:tabs>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9F266E">
        <w:rPr>
          <w:rFonts w:ascii="Times New Roman" w:hAnsi="Times New Roman"/>
          <w:sz w:val="28"/>
          <w:szCs w:val="28"/>
        </w:rPr>
        <w:t xml:space="preserve">An increase in the value of a liability is equal to a change in the price (or monetary value) of that liability, but with the opposite sign. A positive change resulting from an increase in the value of an asset or a decrease in the value of a liability results in an increase in the net present value of the unit under consideration. </w:t>
      </w:r>
      <w:r w:rsidRPr="009F266E">
        <w:rPr>
          <w:rFonts w:ascii="Times New Roman" w:hAnsi="Times New Roman"/>
          <w:sz w:val="28"/>
          <w:szCs w:val="28"/>
          <w:lang w:val="kk-KZ"/>
        </w:rPr>
        <w:t xml:space="preserve">Negative </w:t>
      </w:r>
      <w:r w:rsidRPr="009F266E">
        <w:rPr>
          <w:rFonts w:ascii="Times New Roman" w:hAnsi="Times New Roman"/>
          <w:sz w:val="28"/>
          <w:szCs w:val="28"/>
        </w:rPr>
        <w:t>holding gain (loss) due to a decrease in the value of this asset or an increase in the value of this liability</w:t>
      </w:r>
      <w:r w:rsidRPr="009F266E">
        <w:rPr>
          <w:rFonts w:ascii="Times New Roman" w:hAnsi="Times New Roman"/>
          <w:sz w:val="28"/>
          <w:szCs w:val="28"/>
          <w:lang w:val="kk-KZ"/>
        </w:rPr>
        <w:t xml:space="preserve"> </w:t>
      </w:r>
      <w:r w:rsidRPr="009F266E">
        <w:rPr>
          <w:rFonts w:ascii="Times New Roman" w:hAnsi="Times New Roman"/>
          <w:sz w:val="28"/>
          <w:szCs w:val="28"/>
        </w:rPr>
        <w:t>leads to a decrease in the net worth of that unit.</w:t>
      </w:r>
    </w:p>
    <w:p w:rsidR="006C4312" w:rsidRDefault="006C4312" w:rsidP="006C4312">
      <w:pPr>
        <w:pStyle w:val="aa"/>
        <w:numPr>
          <w:ilvl w:val="0"/>
          <w:numId w:val="1"/>
        </w:numPr>
        <w:tabs>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9F266E">
        <w:rPr>
          <w:rFonts w:ascii="Times New Roman" w:hAnsi="Times New Roman"/>
          <w:sz w:val="28"/>
          <w:szCs w:val="28"/>
        </w:rPr>
        <w:t>Nominal holding gains are calculated on assets or liabilities that themselves remain directly qualitatively and quantitatively unchanged during the reporting period for which holding gains are determined. Nominal holding gains arise on existing fixed assets, either as a result of general inflation or as the price of the asset itself changes over time.</w:t>
      </w:r>
    </w:p>
    <w:p w:rsidR="006C4312" w:rsidRDefault="006C4312" w:rsidP="006C4312">
      <w:pPr>
        <w:pStyle w:val="aa"/>
        <w:numPr>
          <w:ilvl w:val="0"/>
          <w:numId w:val="1"/>
        </w:numPr>
        <w:tabs>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9F266E">
        <w:rPr>
          <w:rFonts w:ascii="Times New Roman" w:hAnsi="Times New Roman"/>
          <w:sz w:val="28"/>
          <w:szCs w:val="28"/>
        </w:rPr>
        <w:t>Nominal holding gains on inventories are estimated separately for raw materials, finished goods, goods for resale, work in progress and other inventories.</w:t>
      </w:r>
    </w:p>
    <w:p w:rsidR="006C4312" w:rsidRDefault="006C4312" w:rsidP="006C4312">
      <w:pPr>
        <w:pStyle w:val="aa"/>
        <w:numPr>
          <w:ilvl w:val="0"/>
          <w:numId w:val="1"/>
        </w:numPr>
        <w:tabs>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9F266E">
        <w:rPr>
          <w:rFonts w:ascii="Times New Roman" w:hAnsi="Times New Roman"/>
          <w:sz w:val="28"/>
          <w:szCs w:val="28"/>
        </w:rPr>
        <w:t>Goods entering the inventories are considered to be acquired by the owner of the enterprise from himself, as a manufacturer, and goods leaving the inventories are considered as transferred by the owner of the enterprise to himself, as a producer, for use in production or for sale. The cost of withdrawals from inventory includes any holding gains on inventories, which ensures that holding gains are excluded from the cost of output.</w:t>
      </w:r>
    </w:p>
    <w:p w:rsidR="006C4312" w:rsidRDefault="006C4312" w:rsidP="006C4312">
      <w:pPr>
        <w:pStyle w:val="aa"/>
        <w:numPr>
          <w:ilvl w:val="0"/>
          <w:numId w:val="1"/>
        </w:numPr>
        <w:tabs>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9F266E">
        <w:rPr>
          <w:rFonts w:ascii="Times New Roman" w:hAnsi="Times New Roman"/>
          <w:sz w:val="28"/>
          <w:szCs w:val="28"/>
        </w:rPr>
        <w:t>The value of goods for resale removed from inventories includes the value of any holding gains or losses arising while the goods are in inventory, but not the value of the mark-up that is realized by the wholesaler or retailer.</w:t>
      </w:r>
    </w:p>
    <w:p w:rsidR="006C4312" w:rsidRDefault="006C4312" w:rsidP="006C4312">
      <w:pPr>
        <w:pStyle w:val="aa"/>
        <w:numPr>
          <w:ilvl w:val="0"/>
          <w:numId w:val="1"/>
        </w:numPr>
        <w:tabs>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9F266E">
        <w:rPr>
          <w:rFonts w:ascii="Times New Roman" w:hAnsi="Times New Roman"/>
          <w:sz w:val="28"/>
          <w:szCs w:val="28"/>
          <w:lang w:val="kk-KZ"/>
        </w:rPr>
        <w:t xml:space="preserve">Administrative data </w:t>
      </w:r>
      <w:r w:rsidRPr="009F266E">
        <w:rPr>
          <w:rFonts w:ascii="Times New Roman" w:hAnsi="Times New Roman"/>
          <w:sz w:val="28"/>
          <w:szCs w:val="28"/>
        </w:rPr>
        <w:t xml:space="preserve">on the revaluation of financial assets and liabilities comes </w:t>
      </w:r>
      <w:r w:rsidRPr="009F266E">
        <w:rPr>
          <w:rFonts w:ascii="Times New Roman" w:hAnsi="Times New Roman"/>
          <w:sz w:val="28"/>
          <w:szCs w:val="28"/>
          <w:lang w:val="kk-KZ"/>
        </w:rPr>
        <w:t xml:space="preserve">from </w:t>
      </w:r>
      <w:r w:rsidRPr="009F266E">
        <w:rPr>
          <w:rFonts w:ascii="Times New Roman" w:hAnsi="Times New Roman"/>
          <w:sz w:val="28"/>
          <w:szCs w:val="28"/>
        </w:rPr>
        <w:t>administrative sources. Nominal holding gains on domestic currency, deposits and loans denominated in domestic currency are always zero.</w:t>
      </w:r>
    </w:p>
    <w:p w:rsidR="006C4312" w:rsidRPr="009F266E" w:rsidRDefault="006C4312" w:rsidP="006C4312">
      <w:pPr>
        <w:pStyle w:val="aa"/>
        <w:numPr>
          <w:ilvl w:val="0"/>
          <w:numId w:val="1"/>
        </w:numPr>
        <w:tabs>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9F266E">
        <w:rPr>
          <w:rFonts w:ascii="Times New Roman" w:hAnsi="Times New Roman"/>
          <w:sz w:val="28"/>
          <w:szCs w:val="28"/>
        </w:rPr>
        <w:t>Nominal holding gains are calculated according to the following formula:</w:t>
      </w:r>
    </w:p>
    <w:p w:rsidR="001950B9" w:rsidRPr="00F12902" w:rsidRDefault="001950B9" w:rsidP="004924CE">
      <w:pPr>
        <w:tabs>
          <w:tab w:val="left" w:pos="851"/>
          <w:tab w:val="left" w:pos="993"/>
          <w:tab w:val="left" w:pos="1276"/>
        </w:tabs>
        <w:autoSpaceDE w:val="0"/>
        <w:autoSpaceDN w:val="0"/>
        <w:adjustRightInd w:val="0"/>
        <w:spacing w:after="0" w:line="240" w:lineRule="auto"/>
        <w:ind w:firstLine="852"/>
        <w:jc w:val="both"/>
        <w:rPr>
          <w:rFonts w:ascii="Times New Roman" w:hAnsi="Times New Roman" w:cs="Times New Roman"/>
          <w:sz w:val="28"/>
          <w:szCs w:val="28"/>
        </w:rPr>
      </w:pPr>
    </w:p>
    <w:p w:rsidR="006120A7" w:rsidRPr="00F12902" w:rsidRDefault="003C365F" w:rsidP="004924CE">
      <w:pPr>
        <w:tabs>
          <w:tab w:val="left" w:pos="851"/>
          <w:tab w:val="left" w:pos="993"/>
          <w:tab w:val="left" w:pos="1276"/>
        </w:tabs>
        <w:autoSpaceDE w:val="0"/>
        <w:autoSpaceDN w:val="0"/>
        <w:adjustRightInd w:val="0"/>
        <w:spacing w:after="0" w:line="240" w:lineRule="auto"/>
        <w:ind w:firstLine="3828"/>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n</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n</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Op</m:t>
            </m:r>
          </m:e>
          <m:sub>
            <m:r>
              <w:rPr>
                <w:rFonts w:ascii="Cambria Math" w:hAnsi="Cambria Math" w:cs="Times New Roman"/>
                <w:sz w:val="28"/>
                <w:szCs w:val="28"/>
              </w:rPr>
              <m:t>n</m:t>
            </m:r>
          </m:sub>
        </m:sSub>
        <m:r>
          <w:rPr>
            <w:rFonts w:ascii="Cambria Math" w:hAnsi="Cambria Math" w:cs="Times New Roman"/>
            <w:sz w:val="28"/>
            <w:szCs w:val="28"/>
          </w:rPr>
          <m:t>,</m:t>
        </m:r>
      </m:oMath>
      <w:r w:rsidR="00AC36ED" w:rsidRPr="00F12902">
        <w:rPr>
          <w:rFonts w:ascii="Times New Roman" w:hAnsi="Times New Roman" w:cs="Times New Roman"/>
          <w:sz w:val="28"/>
          <w:szCs w:val="28"/>
        </w:rPr>
        <w:t>(1)</w:t>
      </w:r>
    </w:p>
    <w:p w:rsidR="00087078" w:rsidRPr="00F12902" w:rsidRDefault="005D45C8" w:rsidP="004924CE">
      <w:pPr>
        <w:tabs>
          <w:tab w:val="left" w:pos="851"/>
          <w:tab w:val="left" w:pos="993"/>
          <w:tab w:val="left" w:pos="1276"/>
        </w:tabs>
        <w:autoSpaceDE w:val="0"/>
        <w:autoSpaceDN w:val="0"/>
        <w:adjustRightInd w:val="0"/>
        <w:spacing w:after="0" w:line="240" w:lineRule="auto"/>
        <w:ind w:firstLine="852"/>
        <w:jc w:val="both"/>
        <w:rPr>
          <w:rFonts w:ascii="Times New Roman" w:hAnsi="Times New Roman" w:cs="Times New Roman"/>
          <w:sz w:val="28"/>
          <w:szCs w:val="28"/>
        </w:rPr>
      </w:pPr>
      <w:r>
        <w:rPr>
          <w:rFonts w:ascii="Times New Roman" w:hAnsi="Times New Roman" w:cs="Times New Roman"/>
          <w:sz w:val="28"/>
          <w:szCs w:val="28"/>
        </w:rPr>
        <w:t>where:</w:t>
      </w:r>
    </w:p>
    <w:p w:rsidR="00C57469" w:rsidRPr="00F12902" w:rsidRDefault="003C365F" w:rsidP="004924CE">
      <w:pPr>
        <w:tabs>
          <w:tab w:val="left" w:pos="851"/>
          <w:tab w:val="left" w:pos="993"/>
          <w:tab w:val="left" w:pos="1276"/>
        </w:tabs>
        <w:autoSpaceDE w:val="0"/>
        <w:autoSpaceDN w:val="0"/>
        <w:adjustRightInd w:val="0"/>
        <w:spacing w:after="0" w:line="240" w:lineRule="auto"/>
        <w:ind w:left="851" w:firstLine="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n</m:t>
            </m:r>
          </m:sub>
        </m:sSub>
        <m:r>
          <w:rPr>
            <w:rFonts w:ascii="Cambria Math" w:hAnsi="Cambria Math" w:cs="Times New Roman"/>
            <w:sz w:val="28"/>
            <w:szCs w:val="28"/>
          </w:rPr>
          <m:t>-</m:t>
        </m:r>
      </m:oMath>
      <w:r w:rsidR="00C57469" w:rsidRPr="00F12902">
        <w:rPr>
          <w:rFonts w:ascii="Times New Roman" w:hAnsi="Times New Roman" w:cs="Times New Roman"/>
          <w:sz w:val="28"/>
          <w:szCs w:val="28"/>
        </w:rPr>
        <w:t xml:space="preserve">the nominal holding gain of the asset </w:t>
      </w:r>
      <w:r w:rsidR="00C57469" w:rsidRPr="00F12902">
        <w:rPr>
          <w:rFonts w:ascii="Times New Roman" w:hAnsi="Times New Roman" w:cs="Times New Roman"/>
          <w:sz w:val="28"/>
          <w:szCs w:val="28"/>
          <w:lang w:val="en-US"/>
        </w:rPr>
        <w:t xml:space="preserve">n </w:t>
      </w:r>
      <w:r w:rsidR="00C57469" w:rsidRPr="00F12902">
        <w:rPr>
          <w:rFonts w:ascii="Times New Roman" w:hAnsi="Times New Roman" w:cs="Times New Roman"/>
          <w:sz w:val="28"/>
          <w:szCs w:val="28"/>
        </w:rPr>
        <w:t>;</w:t>
      </w:r>
    </w:p>
    <w:p w:rsidR="00C57469" w:rsidRPr="00F12902" w:rsidRDefault="003C365F" w:rsidP="004924CE">
      <w:pPr>
        <w:tabs>
          <w:tab w:val="left" w:pos="851"/>
          <w:tab w:val="left" w:pos="993"/>
          <w:tab w:val="left" w:pos="1276"/>
        </w:tabs>
        <w:autoSpaceDE w:val="0"/>
        <w:autoSpaceDN w:val="0"/>
        <w:adjustRightInd w:val="0"/>
        <w:spacing w:after="0" w:line="240" w:lineRule="auto"/>
        <w:ind w:left="851" w:firstLine="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oMath>
      <w:r w:rsidR="00C57469" w:rsidRPr="00F12902">
        <w:rPr>
          <w:rFonts w:ascii="Times New Roman" w:hAnsi="Times New Roman" w:cs="Times New Roman"/>
          <w:sz w:val="28"/>
          <w:szCs w:val="28"/>
        </w:rPr>
        <w:t xml:space="preserve"> </w:t>
      </w:r>
      <m:oMath>
        <m:r>
          <w:rPr>
            <w:rFonts w:ascii="Cambria Math" w:hAnsi="Cambria Math" w:cs="Times New Roman"/>
            <w:sz w:val="28"/>
            <w:szCs w:val="28"/>
          </w:rPr>
          <m:t>–</m:t>
        </m:r>
      </m:oMath>
      <w:r w:rsidR="00C57469" w:rsidRPr="00F12902">
        <w:rPr>
          <w:rFonts w:ascii="Times New Roman" w:hAnsi="Times New Roman" w:cs="Times New Roman"/>
          <w:sz w:val="28"/>
          <w:szCs w:val="28"/>
        </w:rPr>
        <w:t xml:space="preserve">asset flows </w:t>
      </w:r>
      <w:r w:rsidR="00C57469" w:rsidRPr="00F12902">
        <w:rPr>
          <w:rFonts w:ascii="Times New Roman" w:hAnsi="Times New Roman" w:cs="Times New Roman"/>
          <w:sz w:val="28"/>
          <w:szCs w:val="28"/>
          <w:lang w:val="en-US"/>
        </w:rPr>
        <w:t xml:space="preserve">n </w:t>
      </w:r>
      <w:r w:rsidR="00C57469" w:rsidRPr="00F12902">
        <w:rPr>
          <w:rFonts w:ascii="Times New Roman" w:hAnsi="Times New Roman" w:cs="Times New Roman"/>
          <w:sz w:val="28"/>
          <w:szCs w:val="28"/>
        </w:rPr>
        <w:t>;</w:t>
      </w:r>
    </w:p>
    <w:p w:rsidR="00C57469" w:rsidRPr="00F12902" w:rsidRDefault="003C365F" w:rsidP="004924CE">
      <w:pPr>
        <w:tabs>
          <w:tab w:val="left" w:pos="851"/>
          <w:tab w:val="left" w:pos="993"/>
          <w:tab w:val="left" w:pos="1276"/>
        </w:tabs>
        <w:autoSpaceDE w:val="0"/>
        <w:autoSpaceDN w:val="0"/>
        <w:adjustRightInd w:val="0"/>
        <w:spacing w:after="0" w:line="240" w:lineRule="auto"/>
        <w:ind w:left="851" w:firstLine="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n</m:t>
            </m:r>
          </m:sub>
        </m:sSub>
        <m:r>
          <w:rPr>
            <w:rFonts w:ascii="Cambria Math" w:hAnsi="Cambria Math" w:cs="Times New Roman"/>
            <w:sz w:val="28"/>
            <w:szCs w:val="28"/>
          </w:rPr>
          <m:t xml:space="preserve">- </m:t>
        </m:r>
      </m:oMath>
      <w:r w:rsidR="00C57469" w:rsidRPr="00F12902">
        <w:rPr>
          <w:rFonts w:ascii="Times New Roman" w:hAnsi="Times New Roman" w:cs="Times New Roman"/>
          <w:sz w:val="28"/>
          <w:szCs w:val="28"/>
        </w:rPr>
        <w:t xml:space="preserve">other changes in the volume of the asset </w:t>
      </w:r>
      <w:r w:rsidR="00C57469" w:rsidRPr="00F12902">
        <w:rPr>
          <w:rFonts w:ascii="Times New Roman" w:hAnsi="Times New Roman" w:cs="Times New Roman"/>
          <w:sz w:val="28"/>
          <w:szCs w:val="28"/>
          <w:lang w:val="en-US"/>
        </w:rPr>
        <w:t xml:space="preserve">n </w:t>
      </w:r>
      <w:r w:rsidR="00C57469" w:rsidRPr="00F12902">
        <w:rPr>
          <w:rFonts w:ascii="Times New Roman" w:hAnsi="Times New Roman" w:cs="Times New Roman"/>
          <w:sz w:val="28"/>
          <w:szCs w:val="28"/>
        </w:rPr>
        <w:t>;</w:t>
      </w:r>
    </w:p>
    <w:p w:rsidR="00C57469" w:rsidRPr="00F12902" w:rsidRDefault="003C365F" w:rsidP="004924CE">
      <w:pPr>
        <w:tabs>
          <w:tab w:val="left" w:pos="851"/>
          <w:tab w:val="left" w:pos="993"/>
          <w:tab w:val="left" w:pos="1276"/>
        </w:tabs>
        <w:autoSpaceDE w:val="0"/>
        <w:autoSpaceDN w:val="0"/>
        <w:adjustRightInd w:val="0"/>
        <w:spacing w:after="0" w:line="240" w:lineRule="auto"/>
        <w:ind w:left="851" w:firstLine="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Op</m:t>
            </m:r>
          </m:e>
          <m:sub>
            <m:r>
              <w:rPr>
                <w:rFonts w:ascii="Cambria Math" w:hAnsi="Cambria Math" w:cs="Times New Roman"/>
                <w:sz w:val="28"/>
                <w:szCs w:val="28"/>
              </w:rPr>
              <m:t>n</m:t>
            </m:r>
          </m:sub>
        </m:sSub>
      </m:oMath>
      <w:r w:rsidR="005F04F9" w:rsidRPr="00F12902">
        <w:rPr>
          <w:rFonts w:ascii="Times New Roman" w:hAnsi="Times New Roman" w:cs="Times New Roman"/>
          <w:sz w:val="28"/>
          <w:szCs w:val="28"/>
        </w:rPr>
        <w:t xml:space="preserve"> </w:t>
      </w:r>
      <m:oMath>
        <m:r>
          <w:rPr>
            <w:rFonts w:ascii="Cambria Math" w:hAnsi="Cambria Math" w:cs="Times New Roman"/>
            <w:sz w:val="28"/>
            <w:szCs w:val="28"/>
          </w:rPr>
          <m:t>–</m:t>
        </m:r>
      </m:oMath>
      <w:r w:rsidR="005F04F9" w:rsidRPr="00F12902">
        <w:rPr>
          <w:rFonts w:ascii="Times New Roman" w:hAnsi="Times New Roman" w:cs="Times New Roman"/>
          <w:sz w:val="28"/>
          <w:szCs w:val="28"/>
        </w:rPr>
        <w:t xml:space="preserve">operations of asset </w:t>
      </w:r>
      <w:r w:rsidR="005F04F9" w:rsidRPr="00F12902">
        <w:rPr>
          <w:rFonts w:ascii="Times New Roman" w:hAnsi="Times New Roman" w:cs="Times New Roman"/>
          <w:sz w:val="28"/>
          <w:szCs w:val="28"/>
          <w:lang w:val="en-US"/>
        </w:rPr>
        <w:t xml:space="preserve">n </w:t>
      </w:r>
      <w:r w:rsidR="005F04F9" w:rsidRPr="00F12902">
        <w:rPr>
          <w:rFonts w:ascii="Times New Roman" w:hAnsi="Times New Roman" w:cs="Times New Roman"/>
          <w:sz w:val="28"/>
          <w:szCs w:val="28"/>
        </w:rPr>
        <w:t>.</w:t>
      </w:r>
    </w:p>
    <w:p w:rsidR="0081511F" w:rsidRPr="00F12902" w:rsidRDefault="0081511F" w:rsidP="0081511F">
      <w:pPr>
        <w:pStyle w:val="aa"/>
        <w:numPr>
          <w:ilvl w:val="0"/>
          <w:numId w:val="1"/>
        </w:numPr>
        <w:tabs>
          <w:tab w:val="left" w:pos="709"/>
          <w:tab w:val="left" w:pos="851"/>
          <w:tab w:val="left" w:pos="993"/>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F12902">
        <w:rPr>
          <w:rFonts w:ascii="Times New Roman" w:hAnsi="Times New Roman"/>
          <w:sz w:val="28"/>
          <w:szCs w:val="28"/>
        </w:rPr>
        <w:t>The components reflected in the formula are calculated on the basis of administrative data (in kind) and national statistical information.</w:t>
      </w:r>
    </w:p>
    <w:p w:rsidR="006C4312" w:rsidRDefault="006C4312" w:rsidP="004924CE">
      <w:pPr>
        <w:tabs>
          <w:tab w:val="left" w:pos="851"/>
        </w:tabs>
        <w:autoSpaceDE w:val="0"/>
        <w:autoSpaceDN w:val="0"/>
        <w:adjustRightInd w:val="0"/>
        <w:spacing w:after="0" w:line="240" w:lineRule="auto"/>
        <w:ind w:firstLine="852"/>
        <w:jc w:val="both"/>
        <w:rPr>
          <w:rFonts w:ascii="Times New Roman" w:hAnsi="Times New Roman" w:cs="Times New Roman"/>
          <w:sz w:val="28"/>
          <w:szCs w:val="28"/>
          <w:lang w:val="kk-KZ"/>
        </w:rPr>
      </w:pPr>
    </w:p>
    <w:p w:rsidR="006C4312" w:rsidRPr="006C4312" w:rsidRDefault="006C4312" w:rsidP="004924CE">
      <w:pPr>
        <w:tabs>
          <w:tab w:val="left" w:pos="851"/>
        </w:tabs>
        <w:autoSpaceDE w:val="0"/>
        <w:autoSpaceDN w:val="0"/>
        <w:adjustRightInd w:val="0"/>
        <w:spacing w:after="0" w:line="240" w:lineRule="auto"/>
        <w:ind w:firstLine="852"/>
        <w:jc w:val="both"/>
        <w:rPr>
          <w:rFonts w:ascii="Times New Roman" w:hAnsi="Times New Roman" w:cs="Times New Roman"/>
          <w:sz w:val="28"/>
          <w:szCs w:val="28"/>
          <w:lang w:val="kk-KZ"/>
        </w:rPr>
      </w:pPr>
    </w:p>
    <w:p w:rsidR="00AC36ED" w:rsidRPr="00F12902" w:rsidRDefault="00AC36ED" w:rsidP="004924CE">
      <w:pPr>
        <w:tabs>
          <w:tab w:val="left" w:pos="851"/>
        </w:tabs>
        <w:autoSpaceDE w:val="0"/>
        <w:autoSpaceDN w:val="0"/>
        <w:adjustRightInd w:val="0"/>
        <w:spacing w:after="0" w:line="240" w:lineRule="auto"/>
        <w:ind w:firstLine="852"/>
        <w:jc w:val="both"/>
        <w:rPr>
          <w:rFonts w:ascii="Times New Roman" w:hAnsi="Times New Roman" w:cs="Times New Roman"/>
          <w:sz w:val="28"/>
          <w:szCs w:val="28"/>
        </w:rPr>
      </w:pPr>
    </w:p>
    <w:p w:rsidR="00087078" w:rsidRPr="00F12902" w:rsidRDefault="00247251" w:rsidP="004924CE">
      <w:pPr>
        <w:tabs>
          <w:tab w:val="left" w:pos="851"/>
        </w:tabs>
        <w:autoSpaceDE w:val="0"/>
        <w:autoSpaceDN w:val="0"/>
        <w:adjustRightInd w:val="0"/>
        <w:spacing w:after="0" w:line="240" w:lineRule="auto"/>
        <w:ind w:firstLine="852"/>
        <w:jc w:val="center"/>
        <w:rPr>
          <w:rFonts w:ascii="Times New Roman" w:hAnsi="Times New Roman"/>
          <w:b/>
          <w:color w:val="FF0000"/>
          <w:sz w:val="28"/>
          <w:szCs w:val="28"/>
          <w:lang w:val="kk-KZ"/>
        </w:rPr>
      </w:pPr>
      <w:r w:rsidRPr="00F12902">
        <w:rPr>
          <w:rFonts w:ascii="Times New Roman" w:hAnsi="Times New Roman"/>
          <w:b/>
          <w:sz w:val="28"/>
          <w:szCs w:val="28"/>
        </w:rPr>
        <w:t xml:space="preserve">Chapter 4. </w:t>
      </w:r>
      <w:r w:rsidR="0033297E" w:rsidRPr="0033297E">
        <w:rPr>
          <w:rFonts w:ascii="Times New Roman" w:hAnsi="Times New Roman"/>
          <w:b/>
          <w:sz w:val="28"/>
          <w:szCs w:val="28"/>
        </w:rPr>
        <w:t>Calculation of neutral holding gains and losses</w:t>
      </w:r>
    </w:p>
    <w:p w:rsidR="00087078" w:rsidRPr="00F12902" w:rsidRDefault="00087078" w:rsidP="004924CE">
      <w:pPr>
        <w:tabs>
          <w:tab w:val="left" w:pos="851"/>
        </w:tabs>
        <w:autoSpaceDE w:val="0"/>
        <w:autoSpaceDN w:val="0"/>
        <w:adjustRightInd w:val="0"/>
        <w:spacing w:after="0" w:line="240" w:lineRule="auto"/>
        <w:ind w:firstLine="852"/>
        <w:jc w:val="both"/>
        <w:rPr>
          <w:rFonts w:ascii="Times New Roman" w:hAnsi="Times New Roman" w:cs="Times New Roman"/>
          <w:sz w:val="28"/>
          <w:szCs w:val="28"/>
        </w:rPr>
      </w:pPr>
    </w:p>
    <w:p w:rsidR="006C4312" w:rsidRPr="006C4312" w:rsidRDefault="006C4312" w:rsidP="006C4312">
      <w:pPr>
        <w:pStyle w:val="a3"/>
        <w:numPr>
          <w:ilvl w:val="0"/>
          <w:numId w:val="1"/>
        </w:numPr>
        <w:tabs>
          <w:tab w:val="left" w:pos="851"/>
          <w:tab w:val="left" w:pos="1134"/>
          <w:tab w:val="left" w:pos="1276"/>
        </w:tabs>
        <w:autoSpaceDE w:val="0"/>
        <w:autoSpaceDN w:val="0"/>
        <w:adjustRightInd w:val="0"/>
        <w:ind w:left="0" w:firstLine="709"/>
        <w:rPr>
          <w:sz w:val="28"/>
          <w:szCs w:val="28"/>
        </w:rPr>
      </w:pPr>
      <w:r w:rsidRPr="00F12902">
        <w:rPr>
          <w:sz w:val="28"/>
          <w:szCs w:val="28"/>
          <w:lang w:val="kk-KZ"/>
        </w:rPr>
        <w:t xml:space="preserve">Neutral </w:t>
      </w:r>
      <w:r w:rsidRPr="00F12902">
        <w:rPr>
          <w:sz w:val="28"/>
          <w:szCs w:val="28"/>
        </w:rPr>
        <w:t>holding gain (loss)</w:t>
      </w:r>
      <w:r w:rsidRPr="00F12902">
        <w:rPr>
          <w:sz w:val="28"/>
          <w:szCs w:val="28"/>
          <w:lang w:val="kk-KZ"/>
        </w:rPr>
        <w:t xml:space="preserve"> </w:t>
      </w:r>
      <w:r w:rsidRPr="00F12902">
        <w:rPr>
          <w:sz w:val="28"/>
          <w:szCs w:val="28"/>
        </w:rPr>
        <w:t xml:space="preserve">over the period </w:t>
      </w:r>
      <w:r w:rsidRPr="00F12902">
        <w:rPr>
          <w:sz w:val="28"/>
          <w:szCs w:val="28"/>
          <w:lang w:val="kk-KZ"/>
        </w:rPr>
        <w:t xml:space="preserve">represents </w:t>
      </w:r>
      <w:r w:rsidRPr="00F12902">
        <w:rPr>
          <w:sz w:val="28"/>
          <w:szCs w:val="28"/>
        </w:rPr>
        <w:t xml:space="preserve">the increase (decrease) in the value of an asset that would be required, in the absence of transactions and other changes in the volume of assets, to purchase the quantity of goods and services, as at the beginning of the period </w:t>
      </w:r>
      <w:r w:rsidRPr="00F12902">
        <w:rPr>
          <w:sz w:val="28"/>
          <w:szCs w:val="28"/>
          <w:lang w:val="kk-KZ"/>
        </w:rPr>
        <w:t>.</w:t>
      </w:r>
    </w:p>
    <w:p w:rsidR="006C4312" w:rsidRDefault="006C4312" w:rsidP="006C4312">
      <w:pPr>
        <w:pStyle w:val="a3"/>
        <w:numPr>
          <w:ilvl w:val="0"/>
          <w:numId w:val="1"/>
        </w:numPr>
        <w:tabs>
          <w:tab w:val="left" w:pos="851"/>
          <w:tab w:val="left" w:pos="1134"/>
          <w:tab w:val="left" w:pos="1276"/>
        </w:tabs>
        <w:autoSpaceDE w:val="0"/>
        <w:autoSpaceDN w:val="0"/>
        <w:adjustRightInd w:val="0"/>
        <w:ind w:left="0" w:firstLine="709"/>
        <w:rPr>
          <w:sz w:val="28"/>
          <w:szCs w:val="28"/>
        </w:rPr>
      </w:pPr>
      <w:r w:rsidRPr="00F12902">
        <w:rPr>
          <w:sz w:val="28"/>
          <w:szCs w:val="28"/>
        </w:rPr>
        <w:t xml:space="preserve">Neutral </w:t>
      </w:r>
      <w:r w:rsidRPr="00F12902">
        <w:rPr>
          <w:sz w:val="28"/>
          <w:szCs w:val="28"/>
          <w:lang w:val="kk-KZ"/>
        </w:rPr>
        <w:t xml:space="preserve">holding </w:t>
      </w:r>
      <w:r w:rsidRPr="00F12902">
        <w:rPr>
          <w:sz w:val="28"/>
          <w:szCs w:val="28"/>
        </w:rPr>
        <w:t xml:space="preserve">gains </w:t>
      </w:r>
      <w:r w:rsidRPr="00F12902">
        <w:rPr>
          <w:sz w:val="28"/>
          <w:szCs w:val="28"/>
          <w:lang w:val="kk-KZ"/>
        </w:rPr>
        <w:t xml:space="preserve">and </w:t>
      </w:r>
      <w:r w:rsidRPr="00F12902">
        <w:rPr>
          <w:sz w:val="28"/>
          <w:szCs w:val="28"/>
        </w:rPr>
        <w:t xml:space="preserve">assets for the reporting period are defined as changes in the value of an asset to maintain </w:t>
      </w:r>
      <w:r w:rsidRPr="00F12902">
        <w:rPr>
          <w:sz w:val="28"/>
          <w:szCs w:val="28"/>
          <w:lang w:val="kk-KZ"/>
        </w:rPr>
        <w:t xml:space="preserve">real value </w:t>
      </w:r>
      <w:r w:rsidRPr="00F12902">
        <w:rPr>
          <w:sz w:val="28"/>
          <w:szCs w:val="28"/>
        </w:rPr>
        <w:t>.</w:t>
      </w:r>
    </w:p>
    <w:p w:rsidR="006C4312" w:rsidRDefault="006C4312" w:rsidP="006C4312">
      <w:pPr>
        <w:pStyle w:val="a3"/>
        <w:numPr>
          <w:ilvl w:val="0"/>
          <w:numId w:val="1"/>
        </w:numPr>
        <w:tabs>
          <w:tab w:val="left" w:pos="851"/>
          <w:tab w:val="left" w:pos="1134"/>
          <w:tab w:val="left" w:pos="1276"/>
        </w:tabs>
        <w:autoSpaceDE w:val="0"/>
        <w:autoSpaceDN w:val="0"/>
        <w:adjustRightInd w:val="0"/>
        <w:ind w:left="0" w:firstLine="709"/>
        <w:rPr>
          <w:sz w:val="28"/>
          <w:szCs w:val="28"/>
        </w:rPr>
      </w:pPr>
      <w:r w:rsidRPr="009F266E">
        <w:rPr>
          <w:sz w:val="28"/>
          <w:szCs w:val="28"/>
        </w:rPr>
        <w:t xml:space="preserve">Neutral holding gains on assets are calculated using a price index </w:t>
      </w:r>
      <w:r w:rsidRPr="009F266E">
        <w:rPr>
          <w:sz w:val="28"/>
          <w:szCs w:val="28"/>
          <w:lang w:val="kk-KZ"/>
        </w:rPr>
        <w:t xml:space="preserve">covering </w:t>
      </w:r>
      <w:r w:rsidRPr="009F266E">
        <w:rPr>
          <w:sz w:val="28"/>
          <w:szCs w:val="28"/>
        </w:rPr>
        <w:t>a wide range of goods and services. The final consumption expenditure deflator is more appropriate, other indices are used depending on the availability and quality of data. The consumer price index fits the bill, and the acceptable procedure is to use the consumer price index in computing neutral holding gains.</w:t>
      </w:r>
    </w:p>
    <w:p w:rsidR="006C4312" w:rsidRDefault="006C4312" w:rsidP="006C4312">
      <w:pPr>
        <w:pStyle w:val="a3"/>
        <w:numPr>
          <w:ilvl w:val="0"/>
          <w:numId w:val="1"/>
        </w:numPr>
        <w:tabs>
          <w:tab w:val="left" w:pos="851"/>
          <w:tab w:val="left" w:pos="1134"/>
          <w:tab w:val="left" w:pos="1276"/>
        </w:tabs>
        <w:autoSpaceDE w:val="0"/>
        <w:autoSpaceDN w:val="0"/>
        <w:adjustRightInd w:val="0"/>
        <w:ind w:left="0" w:firstLine="709"/>
        <w:rPr>
          <w:sz w:val="28"/>
          <w:szCs w:val="28"/>
        </w:rPr>
      </w:pPr>
      <w:r w:rsidRPr="009F266E">
        <w:rPr>
          <w:sz w:val="28"/>
          <w:szCs w:val="28"/>
        </w:rPr>
        <w:t>Neutral holding gains on an asset over a period of time are equal to the value of the asset at the beginning of the period multiplied by</w:t>
      </w:r>
      <w:r w:rsidRPr="009F266E">
        <w:rPr>
          <w:color w:val="FF0000"/>
          <w:sz w:val="28"/>
          <w:szCs w:val="28"/>
        </w:rPr>
        <w:t xml:space="preserve"> </w:t>
      </w:r>
      <w:r w:rsidRPr="009F266E">
        <w:rPr>
          <w:sz w:val="28"/>
          <w:szCs w:val="28"/>
        </w:rPr>
        <w:t>consumer price index.</w:t>
      </w:r>
    </w:p>
    <w:p w:rsidR="006C4312" w:rsidRPr="009F266E" w:rsidRDefault="006C4312" w:rsidP="006C4312">
      <w:pPr>
        <w:pStyle w:val="a3"/>
        <w:numPr>
          <w:ilvl w:val="0"/>
          <w:numId w:val="1"/>
        </w:numPr>
        <w:tabs>
          <w:tab w:val="left" w:pos="851"/>
          <w:tab w:val="left" w:pos="1134"/>
          <w:tab w:val="left" w:pos="1276"/>
        </w:tabs>
        <w:autoSpaceDE w:val="0"/>
        <w:autoSpaceDN w:val="0"/>
        <w:adjustRightInd w:val="0"/>
        <w:ind w:left="0" w:firstLine="709"/>
        <w:rPr>
          <w:sz w:val="28"/>
          <w:szCs w:val="28"/>
        </w:rPr>
      </w:pPr>
      <w:r w:rsidRPr="009F266E">
        <w:rPr>
          <w:sz w:val="28"/>
          <w:szCs w:val="28"/>
        </w:rPr>
        <w:t xml:space="preserve">Neutral </w:t>
      </w:r>
      <w:r w:rsidRPr="009F266E">
        <w:rPr>
          <w:sz w:val="28"/>
          <w:szCs w:val="28"/>
          <w:lang w:val="kk-KZ"/>
        </w:rPr>
        <w:t xml:space="preserve">holdings </w:t>
      </w:r>
      <w:r w:rsidRPr="009F266E">
        <w:rPr>
          <w:sz w:val="28"/>
          <w:szCs w:val="28"/>
        </w:rPr>
        <w:t xml:space="preserve">profits </w:t>
      </w:r>
      <w:r w:rsidRPr="009F266E">
        <w:rPr>
          <w:sz w:val="28"/>
          <w:szCs w:val="28"/>
          <w:lang w:val="kk-KZ"/>
        </w:rPr>
        <w:t xml:space="preserve">are </w:t>
      </w:r>
      <w:r w:rsidRPr="009F266E">
        <w:rPr>
          <w:sz w:val="28"/>
          <w:szCs w:val="28"/>
        </w:rPr>
        <w:t xml:space="preserve">calculated </w:t>
      </w:r>
      <w:r w:rsidRPr="009F266E">
        <w:rPr>
          <w:sz w:val="28"/>
          <w:szCs w:val="28"/>
          <w:lang w:val="kk-KZ"/>
        </w:rPr>
        <w:t xml:space="preserve">using the </w:t>
      </w:r>
      <w:r w:rsidRPr="009F266E">
        <w:rPr>
          <w:sz w:val="28"/>
          <w:szCs w:val="28"/>
        </w:rPr>
        <w:t>following formula :</w:t>
      </w:r>
    </w:p>
    <w:p w:rsidR="00247251" w:rsidRPr="00F12902" w:rsidRDefault="00247251" w:rsidP="004924CE">
      <w:pPr>
        <w:pStyle w:val="a3"/>
        <w:tabs>
          <w:tab w:val="left" w:pos="851"/>
          <w:tab w:val="left" w:pos="1134"/>
          <w:tab w:val="left" w:pos="1276"/>
        </w:tabs>
        <w:autoSpaceDE w:val="0"/>
        <w:autoSpaceDN w:val="0"/>
        <w:adjustRightInd w:val="0"/>
        <w:ind w:left="2552" w:hanging="1700"/>
        <w:rPr>
          <w:sz w:val="28"/>
          <w:szCs w:val="28"/>
        </w:rPr>
      </w:pPr>
    </w:p>
    <w:p w:rsidR="00B96DCF" w:rsidRPr="00F12902" w:rsidRDefault="003C365F" w:rsidP="004924CE">
      <w:pPr>
        <w:pStyle w:val="a3"/>
        <w:tabs>
          <w:tab w:val="left" w:pos="851"/>
          <w:tab w:val="left" w:pos="1134"/>
          <w:tab w:val="left" w:pos="1276"/>
          <w:tab w:val="left" w:pos="5812"/>
        </w:tabs>
        <w:autoSpaceDE w:val="0"/>
        <w:autoSpaceDN w:val="0"/>
        <w:adjustRightInd w:val="0"/>
        <w:ind w:left="5954" w:hanging="2552"/>
        <w:jc w:val="center"/>
        <w:rPr>
          <w:i/>
          <w:sz w:val="28"/>
          <w:szCs w:val="28"/>
        </w:rPr>
      </w:pPr>
      <m:oMath>
        <m:sSub>
          <m:sSubPr>
            <m:ctrlPr>
              <w:rPr>
                <w:rFonts w:ascii="Cambria Math" w:hAnsi="Cambria Math"/>
                <w:i/>
                <w:sz w:val="28"/>
                <w:szCs w:val="28"/>
              </w:rPr>
            </m:ctrlPr>
          </m:sSubPr>
          <m:e>
            <m:r>
              <w:rPr>
                <w:rFonts w:ascii="Cambria Math" w:hAnsi="Cambria Math"/>
                <w:sz w:val="28"/>
                <w:szCs w:val="28"/>
                <w:lang w:val="en-US"/>
              </w:rPr>
              <m:t>NG</m:t>
            </m:r>
          </m:e>
          <m:sub>
            <m:r>
              <w:rPr>
                <w:rFonts w:ascii="Cambria Math" w:hAnsi="Cambria Math"/>
                <w:sz w:val="28"/>
                <w:szCs w:val="28"/>
              </w:rPr>
              <m:t>n</m:t>
            </m:r>
          </m:sub>
        </m:sSub>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n</m:t>
            </m:r>
          </m:sub>
          <m:sup>
            <m:r>
              <w:rPr>
                <w:rFonts w:ascii="Cambria Math" w:hAnsi="Cambria Math"/>
                <w:sz w:val="28"/>
                <w:szCs w:val="28"/>
              </w:rPr>
              <m:t>t-1</m:t>
            </m:r>
          </m:sup>
        </m:sSubSup>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t</m:t>
                    </m:r>
                  </m:sup>
                </m:sSup>
              </m:num>
              <m:den>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t-1</m:t>
                    </m:r>
                  </m:sup>
                </m:sSup>
              </m:den>
            </m:f>
          </m:e>
        </m:d>
        <m:r>
          <w:rPr>
            <w:rFonts w:ascii="Cambria Math" w:hAnsi="Cambria Math"/>
            <w:sz w:val="28"/>
            <w:szCs w:val="28"/>
          </w:rPr>
          <m:t>,</m:t>
        </m:r>
      </m:oMath>
      <w:r w:rsidR="00B96DCF" w:rsidRPr="00F12902">
        <w:rPr>
          <w:i/>
          <w:sz w:val="28"/>
          <w:szCs w:val="28"/>
        </w:rPr>
        <w:t xml:space="preserve">                                               </w:t>
      </w:r>
      <w:r w:rsidR="00B96DCF" w:rsidRPr="00F12902">
        <w:rPr>
          <w:sz w:val="28"/>
          <w:szCs w:val="28"/>
        </w:rPr>
        <w:t>(2)</w:t>
      </w:r>
    </w:p>
    <w:p w:rsidR="001B59B6" w:rsidRPr="00F12902" w:rsidRDefault="005D45C8" w:rsidP="004924CE">
      <w:pPr>
        <w:pStyle w:val="af4"/>
        <w:tabs>
          <w:tab w:val="left" w:pos="851"/>
          <w:tab w:val="left" w:pos="1134"/>
          <w:tab w:val="left" w:pos="1276"/>
        </w:tabs>
        <w:ind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where:</w:t>
      </w:r>
    </w:p>
    <w:p w:rsidR="00B96DCF" w:rsidRPr="00F12902" w:rsidRDefault="003C365F" w:rsidP="004924CE">
      <w:pPr>
        <w:pStyle w:val="af4"/>
        <w:tabs>
          <w:tab w:val="left" w:pos="851"/>
          <w:tab w:val="left" w:pos="1134"/>
          <w:tab w:val="left" w:pos="1276"/>
        </w:tabs>
        <w:ind w:left="851" w:firstLine="1"/>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hAnsi="Cambria Math"/>
                <w:sz w:val="28"/>
                <w:szCs w:val="28"/>
                <w:lang w:val="en-US"/>
              </w:rPr>
              <m:t>NG</m:t>
            </m:r>
          </m:e>
          <m:sub>
            <m:r>
              <w:rPr>
                <w:rFonts w:ascii="Cambria Math" w:hAnsi="Cambria Math"/>
                <w:sz w:val="28"/>
                <w:szCs w:val="28"/>
              </w:rPr>
              <m:t>n</m:t>
            </m:r>
          </m:sub>
        </m:sSub>
      </m:oMath>
      <w:r w:rsidR="00B96DCF" w:rsidRPr="00F12902">
        <w:rPr>
          <w:rFonts w:ascii="Times New Roman" w:eastAsia="Times New Roman" w:hAnsi="Times New Roman" w:cs="Times New Roman"/>
          <w:sz w:val="28"/>
          <w:szCs w:val="28"/>
        </w:rPr>
        <w:t>– neutral holding gain;</w:t>
      </w:r>
    </w:p>
    <w:p w:rsidR="00B96DCF" w:rsidRPr="00F12902" w:rsidRDefault="003C365F" w:rsidP="004924CE">
      <w:pPr>
        <w:pStyle w:val="af4"/>
        <w:tabs>
          <w:tab w:val="left" w:pos="851"/>
          <w:tab w:val="left" w:pos="1134"/>
          <w:tab w:val="left" w:pos="1276"/>
        </w:tabs>
        <w:spacing w:before="120"/>
        <w:ind w:left="851"/>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hAnsi="Cambria Math"/>
                <w:sz w:val="28"/>
                <w:szCs w:val="28"/>
              </w:rPr>
              <m:t>S</m:t>
            </m:r>
          </m:e>
          <m:sub>
            <m:r>
              <w:rPr>
                <w:rFonts w:ascii="Cambria Math" w:hAnsi="Cambria Math"/>
                <w:sz w:val="28"/>
                <w:szCs w:val="28"/>
              </w:rPr>
              <m:t>n</m:t>
            </m:r>
          </m:sub>
          <m:sup>
            <m:r>
              <w:rPr>
                <w:rFonts w:ascii="Cambria Math" w:hAnsi="Cambria Math"/>
                <w:sz w:val="28"/>
                <w:szCs w:val="28"/>
              </w:rPr>
              <m:t xml:space="preserve">t-1 </m:t>
            </m:r>
          </m:sup>
        </m:sSubSup>
      </m:oMath>
      <w:r w:rsidR="0033297E">
        <w:rPr>
          <w:rFonts w:ascii="Times New Roman" w:eastAsia="Times New Roman" w:hAnsi="Times New Roman" w:cs="Times New Roman"/>
          <w:sz w:val="28"/>
          <w:szCs w:val="28"/>
        </w:rPr>
        <w:t>-</w:t>
      </w:r>
      <w:r w:rsidR="002828D5" w:rsidRPr="00F12902">
        <w:rPr>
          <w:rFonts w:ascii="Times New Roman" w:eastAsia="Times New Roman" w:hAnsi="Times New Roman" w:cs="Times New Roman"/>
          <w:sz w:val="28"/>
          <w:szCs w:val="28"/>
        </w:rPr>
        <w:t xml:space="preserve"> the value of the asset </w:t>
      </w:r>
      <w:r w:rsidR="002828D5" w:rsidRPr="00F12902">
        <w:rPr>
          <w:rFonts w:ascii="Times New Roman" w:eastAsia="Times New Roman" w:hAnsi="Times New Roman" w:cs="Times New Roman"/>
          <w:sz w:val="28"/>
          <w:szCs w:val="28"/>
          <w:lang w:val="en-US"/>
        </w:rPr>
        <w:t xml:space="preserve">n </w:t>
      </w:r>
      <w:r w:rsidR="002828D5" w:rsidRPr="00F12902">
        <w:rPr>
          <w:rFonts w:ascii="Times New Roman" w:eastAsia="Times New Roman" w:hAnsi="Times New Roman" w:cs="Times New Roman"/>
          <w:sz w:val="28"/>
          <w:szCs w:val="28"/>
        </w:rPr>
        <w:t>at the beginning of the period;</w:t>
      </w:r>
    </w:p>
    <w:p w:rsidR="002828D5" w:rsidRPr="00F12902" w:rsidRDefault="003C365F" w:rsidP="004924CE">
      <w:pPr>
        <w:pStyle w:val="af4"/>
        <w:tabs>
          <w:tab w:val="left" w:pos="851"/>
          <w:tab w:val="left" w:pos="1134"/>
          <w:tab w:val="left" w:pos="1276"/>
        </w:tabs>
        <w:spacing w:before="120"/>
        <w:ind w:left="851"/>
        <w:jc w:val="both"/>
        <w:rPr>
          <w:rFonts w:ascii="Times New Roman" w:eastAsia="Times New Roman" w:hAnsi="Times New Roman" w:cs="Times New Roman"/>
          <w:sz w:val="28"/>
          <w:szCs w:val="28"/>
        </w:rPr>
      </w:pPr>
      <m:oMath>
        <m:sSup>
          <m:sSupPr>
            <m:ctrlPr>
              <w:rPr>
                <w:rFonts w:ascii="Cambria Math" w:eastAsia="Times New Roman" w:hAnsi="Cambria Math" w:cs="Times New Roman"/>
                <w:i/>
                <w:sz w:val="28"/>
                <w:szCs w:val="28"/>
              </w:rPr>
            </m:ctrlPr>
          </m:sSupPr>
          <m:e>
            <m:r>
              <w:rPr>
                <w:rFonts w:ascii="Cambria Math" w:hAnsi="Cambria Math"/>
                <w:sz w:val="28"/>
                <w:szCs w:val="28"/>
              </w:rPr>
              <m:t>P</m:t>
            </m:r>
          </m:e>
          <m:sup>
            <m:r>
              <w:rPr>
                <w:rFonts w:ascii="Cambria Math" w:hAnsi="Cambria Math"/>
                <w:sz w:val="28"/>
                <w:szCs w:val="28"/>
              </w:rPr>
              <m:t>t</m:t>
            </m:r>
          </m:sup>
        </m:sSup>
      </m:oMath>
      <w:r w:rsidR="002828D5" w:rsidRPr="00F12902">
        <w:rPr>
          <w:rFonts w:ascii="Times New Roman" w:eastAsia="Times New Roman" w:hAnsi="Times New Roman" w:cs="Times New Roman"/>
          <w:sz w:val="28"/>
          <w:szCs w:val="28"/>
        </w:rPr>
        <w:t xml:space="preserve">, </w:t>
      </w:r>
      <m:oMath>
        <m:sSup>
          <m:sSupPr>
            <m:ctrlPr>
              <w:rPr>
                <w:rFonts w:ascii="Cambria Math" w:eastAsia="Times New Roman" w:hAnsi="Cambria Math" w:cs="Times New Roman"/>
                <w:i/>
                <w:sz w:val="28"/>
                <w:szCs w:val="28"/>
              </w:rPr>
            </m:ctrlPr>
          </m:sSupPr>
          <m:e>
            <m:r>
              <w:rPr>
                <w:rFonts w:ascii="Cambria Math" w:hAnsi="Cambria Math"/>
                <w:sz w:val="28"/>
                <w:szCs w:val="28"/>
              </w:rPr>
              <m:t>P</m:t>
            </m:r>
          </m:e>
          <m:sup>
            <m:r>
              <w:rPr>
                <w:rFonts w:ascii="Cambria Math" w:hAnsi="Cambria Math"/>
                <w:sz w:val="28"/>
                <w:szCs w:val="28"/>
              </w:rPr>
              <m:t>t-1</m:t>
            </m:r>
          </m:sup>
        </m:sSup>
      </m:oMath>
      <w:r w:rsidR="002828D5" w:rsidRPr="00F12902">
        <w:rPr>
          <w:rFonts w:ascii="Times New Roman" w:eastAsia="Times New Roman" w:hAnsi="Times New Roman" w:cs="Times New Roman"/>
          <w:sz w:val="28"/>
          <w:szCs w:val="28"/>
        </w:rPr>
        <w:t>– consumer price index in period t and t-1.</w:t>
      </w:r>
    </w:p>
    <w:p w:rsidR="0098286C" w:rsidRPr="00F12902" w:rsidRDefault="0098286C" w:rsidP="004924CE">
      <w:pPr>
        <w:tabs>
          <w:tab w:val="left" w:pos="851"/>
        </w:tabs>
        <w:autoSpaceDE w:val="0"/>
        <w:autoSpaceDN w:val="0"/>
        <w:adjustRightInd w:val="0"/>
        <w:spacing w:after="0" w:line="240" w:lineRule="auto"/>
        <w:ind w:firstLine="852"/>
        <w:jc w:val="both"/>
        <w:rPr>
          <w:rFonts w:ascii="Times New Roman" w:hAnsi="Times New Roman" w:cs="Times New Roman"/>
          <w:sz w:val="28"/>
          <w:szCs w:val="28"/>
        </w:rPr>
      </w:pPr>
    </w:p>
    <w:p w:rsidR="001950B9" w:rsidRPr="00F12902" w:rsidRDefault="001950B9" w:rsidP="004924CE">
      <w:pPr>
        <w:tabs>
          <w:tab w:val="left" w:pos="851"/>
        </w:tabs>
        <w:autoSpaceDE w:val="0"/>
        <w:autoSpaceDN w:val="0"/>
        <w:adjustRightInd w:val="0"/>
        <w:spacing w:after="0" w:line="240" w:lineRule="auto"/>
        <w:ind w:firstLine="852"/>
        <w:jc w:val="both"/>
        <w:rPr>
          <w:rFonts w:ascii="Times New Roman" w:hAnsi="Times New Roman" w:cs="Times New Roman"/>
          <w:sz w:val="28"/>
          <w:szCs w:val="28"/>
        </w:rPr>
      </w:pPr>
    </w:p>
    <w:p w:rsidR="00D9751D" w:rsidRPr="00F12902" w:rsidRDefault="00247251" w:rsidP="004924CE">
      <w:pPr>
        <w:tabs>
          <w:tab w:val="left" w:pos="851"/>
        </w:tabs>
        <w:autoSpaceDE w:val="0"/>
        <w:autoSpaceDN w:val="0"/>
        <w:adjustRightInd w:val="0"/>
        <w:spacing w:after="0" w:line="240" w:lineRule="auto"/>
        <w:ind w:firstLine="852"/>
        <w:jc w:val="center"/>
        <w:rPr>
          <w:rFonts w:ascii="Times New Roman" w:hAnsi="Times New Roman"/>
          <w:b/>
          <w:sz w:val="28"/>
          <w:szCs w:val="28"/>
          <w:lang w:val="kk-KZ"/>
        </w:rPr>
      </w:pPr>
      <w:r w:rsidRPr="00F12902">
        <w:rPr>
          <w:rFonts w:ascii="Times New Roman" w:hAnsi="Times New Roman"/>
          <w:b/>
          <w:sz w:val="28"/>
          <w:szCs w:val="28"/>
        </w:rPr>
        <w:t xml:space="preserve">Chapter 5. Calculation of real holding </w:t>
      </w:r>
      <w:r w:rsidR="003F24D2" w:rsidRPr="00F12902">
        <w:rPr>
          <w:rFonts w:ascii="Times New Roman" w:hAnsi="Times New Roman"/>
          <w:b/>
          <w:sz w:val="28"/>
          <w:szCs w:val="28"/>
          <w:lang w:val="kk-KZ"/>
        </w:rPr>
        <w:t xml:space="preserve">gains </w:t>
      </w:r>
      <w:r w:rsidR="00D9751D" w:rsidRPr="00F12902">
        <w:rPr>
          <w:rFonts w:ascii="Times New Roman" w:hAnsi="Times New Roman"/>
          <w:b/>
          <w:sz w:val="28"/>
          <w:szCs w:val="28"/>
        </w:rPr>
        <w:t xml:space="preserve">and </w:t>
      </w:r>
      <w:r w:rsidR="003F24D2" w:rsidRPr="00F12902">
        <w:rPr>
          <w:rFonts w:ascii="Times New Roman" w:hAnsi="Times New Roman"/>
          <w:b/>
          <w:sz w:val="28"/>
          <w:szCs w:val="28"/>
          <w:lang w:val="kk-KZ"/>
        </w:rPr>
        <w:t>losses</w:t>
      </w:r>
    </w:p>
    <w:p w:rsidR="00D9751D" w:rsidRPr="00F12902" w:rsidRDefault="00D9751D" w:rsidP="004924CE">
      <w:pPr>
        <w:tabs>
          <w:tab w:val="left" w:pos="851"/>
          <w:tab w:val="left" w:pos="1276"/>
        </w:tabs>
        <w:autoSpaceDE w:val="0"/>
        <w:autoSpaceDN w:val="0"/>
        <w:adjustRightInd w:val="0"/>
        <w:spacing w:after="0" w:line="240" w:lineRule="auto"/>
        <w:ind w:firstLine="852"/>
        <w:jc w:val="both"/>
        <w:rPr>
          <w:rFonts w:ascii="Times New Roman" w:hAnsi="Times New Roman" w:cs="Times New Roman"/>
          <w:sz w:val="28"/>
          <w:szCs w:val="28"/>
        </w:rPr>
      </w:pPr>
    </w:p>
    <w:p w:rsidR="00D9751D" w:rsidRPr="00F12902" w:rsidRDefault="0033297E" w:rsidP="0033297E">
      <w:pPr>
        <w:pStyle w:val="a3"/>
        <w:numPr>
          <w:ilvl w:val="0"/>
          <w:numId w:val="1"/>
        </w:numPr>
        <w:tabs>
          <w:tab w:val="left" w:pos="851"/>
          <w:tab w:val="left" w:pos="1134"/>
          <w:tab w:val="left" w:pos="1276"/>
        </w:tabs>
        <w:ind w:left="0" w:firstLine="709"/>
        <w:rPr>
          <w:sz w:val="28"/>
          <w:szCs w:val="28"/>
        </w:rPr>
      </w:pPr>
      <w:r w:rsidRPr="0033297E">
        <w:rPr>
          <w:sz w:val="28"/>
          <w:szCs w:val="28"/>
        </w:rPr>
        <w:t>Real holding gains on assets are define</w:t>
      </w:r>
      <w:r>
        <w:rPr>
          <w:sz w:val="28"/>
          <w:szCs w:val="28"/>
        </w:rPr>
        <w:t xml:space="preserve">d as the difference between the </w:t>
      </w:r>
      <w:r w:rsidRPr="0033297E">
        <w:rPr>
          <w:sz w:val="28"/>
          <w:szCs w:val="28"/>
        </w:rPr>
        <w:t>nominal and neutral holding gains on that asset.</w:t>
      </w:r>
    </w:p>
    <w:p w:rsidR="00D9751D" w:rsidRPr="00F12902" w:rsidRDefault="00D9751D" w:rsidP="004924CE">
      <w:pPr>
        <w:pStyle w:val="a3"/>
        <w:tabs>
          <w:tab w:val="left" w:pos="851"/>
          <w:tab w:val="left" w:pos="1276"/>
        </w:tabs>
        <w:ind w:firstLine="852"/>
        <w:rPr>
          <w:sz w:val="28"/>
          <w:szCs w:val="28"/>
        </w:rPr>
      </w:pPr>
    </w:p>
    <w:p w:rsidR="00247251" w:rsidRPr="00F12902" w:rsidRDefault="003C365F" w:rsidP="004924CE">
      <w:pPr>
        <w:pStyle w:val="a3"/>
        <w:tabs>
          <w:tab w:val="left" w:pos="851"/>
          <w:tab w:val="left" w:pos="1276"/>
          <w:tab w:val="left" w:pos="2694"/>
          <w:tab w:val="left" w:pos="3828"/>
        </w:tabs>
        <w:ind w:firstLine="3402"/>
        <w:jc w:val="center"/>
        <w:rPr>
          <w:sz w:val="28"/>
          <w:szCs w:val="28"/>
        </w:rPr>
      </w:pPr>
      <m:oMath>
        <m:sSub>
          <m:sSubPr>
            <m:ctrlPr>
              <w:rPr>
                <w:rFonts w:ascii="Cambria Math" w:hAnsi="Cambria Math"/>
                <w:i/>
                <w:sz w:val="28"/>
                <w:szCs w:val="28"/>
              </w:rPr>
            </m:ctrlPr>
          </m:sSubPr>
          <m:e>
            <m:r>
              <w:rPr>
                <w:rFonts w:ascii="Cambria Math" w:hAnsi="Cambria Math"/>
                <w:sz w:val="28"/>
                <w:szCs w:val="28"/>
              </w:rPr>
              <m:t>RG</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NG</m:t>
            </m:r>
          </m:e>
          <m:sub>
            <m:r>
              <w:rPr>
                <w:rFonts w:ascii="Cambria Math" w:hAnsi="Cambria Math"/>
                <w:sz w:val="28"/>
                <w:szCs w:val="28"/>
              </w:rPr>
              <m:t>n</m:t>
            </m:r>
          </m:sub>
        </m:sSub>
      </m:oMath>
      <w:r w:rsidR="00247251" w:rsidRPr="00F12902">
        <w:rPr>
          <w:sz w:val="28"/>
          <w:szCs w:val="28"/>
        </w:rPr>
        <w:t xml:space="preserve"> </w:t>
      </w:r>
      <w:r w:rsidR="007817D0" w:rsidRPr="00F12902">
        <w:rPr>
          <w:sz w:val="28"/>
          <w:szCs w:val="28"/>
          <w:lang w:val="kk-KZ"/>
        </w:rPr>
        <w:t xml:space="preserve">, </w:t>
      </w:r>
      <w:r w:rsidR="00247251" w:rsidRPr="00F12902">
        <w:rPr>
          <w:sz w:val="28"/>
          <w:szCs w:val="28"/>
        </w:rPr>
        <w:t>(3)</w:t>
      </w:r>
    </w:p>
    <w:p w:rsidR="00247251" w:rsidRPr="00F12902" w:rsidRDefault="005D45C8" w:rsidP="004924CE">
      <w:pPr>
        <w:pStyle w:val="a3"/>
        <w:tabs>
          <w:tab w:val="left" w:pos="851"/>
          <w:tab w:val="left" w:pos="1276"/>
        </w:tabs>
        <w:ind w:firstLine="852"/>
        <w:jc w:val="left"/>
        <w:rPr>
          <w:sz w:val="28"/>
          <w:szCs w:val="28"/>
        </w:rPr>
      </w:pPr>
      <w:r>
        <w:rPr>
          <w:sz w:val="28"/>
          <w:szCs w:val="28"/>
        </w:rPr>
        <w:t>where:</w:t>
      </w:r>
    </w:p>
    <w:p w:rsidR="00087078" w:rsidRPr="00F12902" w:rsidRDefault="003C365F" w:rsidP="004924CE">
      <w:pPr>
        <w:tabs>
          <w:tab w:val="left" w:pos="851"/>
          <w:tab w:val="left" w:pos="1276"/>
        </w:tabs>
        <w:spacing w:after="0" w:line="240" w:lineRule="auto"/>
        <w:ind w:left="851"/>
        <w:rPr>
          <w:rFonts w:ascii="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hAnsi="Cambria Math"/>
                <w:sz w:val="28"/>
                <w:szCs w:val="28"/>
              </w:rPr>
              <m:t>RG</m:t>
            </m:r>
          </m:e>
          <m:sub>
            <m:r>
              <w:rPr>
                <w:rFonts w:ascii="Cambria Math" w:hAnsi="Cambria Math"/>
                <w:sz w:val="28"/>
                <w:szCs w:val="28"/>
              </w:rPr>
              <m:t>n</m:t>
            </m:r>
          </m:sub>
        </m:sSub>
      </m:oMath>
      <w:r w:rsidR="00247251" w:rsidRPr="00F12902">
        <w:rPr>
          <w:rFonts w:ascii="Times New Roman" w:hAnsi="Times New Roman" w:cs="Times New Roman"/>
          <w:sz w:val="28"/>
          <w:szCs w:val="28"/>
        </w:rPr>
        <w:t xml:space="preserve">– real holding gain of the asset </w:t>
      </w:r>
      <w:r w:rsidR="00247251" w:rsidRPr="00F12902">
        <w:rPr>
          <w:rFonts w:ascii="Times New Roman" w:hAnsi="Times New Roman" w:cs="Times New Roman"/>
          <w:sz w:val="28"/>
          <w:szCs w:val="28"/>
          <w:lang w:val="en-US"/>
        </w:rPr>
        <w:t xml:space="preserve">n </w:t>
      </w:r>
      <w:r w:rsidR="00247251" w:rsidRPr="00F12902">
        <w:rPr>
          <w:rFonts w:ascii="Times New Roman" w:hAnsi="Times New Roman" w:cs="Times New Roman"/>
          <w:sz w:val="28"/>
          <w:szCs w:val="28"/>
        </w:rPr>
        <w:t>;</w:t>
      </w:r>
    </w:p>
    <w:p w:rsidR="00247251" w:rsidRPr="00F12902" w:rsidRDefault="003C365F" w:rsidP="004924CE">
      <w:pPr>
        <w:tabs>
          <w:tab w:val="left" w:pos="851"/>
          <w:tab w:val="left" w:pos="1276"/>
        </w:tabs>
        <w:spacing w:after="0" w:line="240" w:lineRule="auto"/>
        <w:ind w:left="851"/>
        <w:rPr>
          <w:rFonts w:ascii="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hAnsi="Cambria Math"/>
                <w:sz w:val="28"/>
                <w:szCs w:val="28"/>
              </w:rPr>
              <m:t>G</m:t>
            </m:r>
          </m:e>
          <m:sub>
            <m:r>
              <w:rPr>
                <w:rFonts w:ascii="Cambria Math" w:hAnsi="Cambria Math"/>
                <w:sz w:val="28"/>
                <w:szCs w:val="28"/>
              </w:rPr>
              <m:t>n</m:t>
            </m:r>
          </m:sub>
        </m:sSub>
      </m:oMath>
      <w:r w:rsidR="00247251" w:rsidRPr="00F12902">
        <w:rPr>
          <w:rFonts w:ascii="Times New Roman" w:hAnsi="Times New Roman" w:cs="Times New Roman"/>
          <w:sz w:val="28"/>
          <w:szCs w:val="28"/>
        </w:rPr>
        <w:t xml:space="preserve">– nominal holding gain of the asset </w:t>
      </w:r>
      <w:r w:rsidR="00247251" w:rsidRPr="00F12902">
        <w:rPr>
          <w:rFonts w:ascii="Times New Roman" w:hAnsi="Times New Roman" w:cs="Times New Roman"/>
          <w:sz w:val="28"/>
          <w:szCs w:val="28"/>
          <w:lang w:val="en-US"/>
        </w:rPr>
        <w:t xml:space="preserve">n </w:t>
      </w:r>
      <w:r w:rsidR="00247251" w:rsidRPr="00F12902">
        <w:rPr>
          <w:rFonts w:ascii="Times New Roman" w:hAnsi="Times New Roman" w:cs="Times New Roman"/>
          <w:sz w:val="28"/>
          <w:szCs w:val="28"/>
        </w:rPr>
        <w:t>;</w:t>
      </w:r>
    </w:p>
    <w:p w:rsidR="00247251" w:rsidRPr="00F12902" w:rsidRDefault="003C365F" w:rsidP="004924CE">
      <w:pPr>
        <w:tabs>
          <w:tab w:val="left" w:pos="851"/>
          <w:tab w:val="left" w:pos="1276"/>
        </w:tabs>
        <w:spacing w:after="0" w:line="240" w:lineRule="auto"/>
        <w:ind w:left="851"/>
        <w:rPr>
          <w:rFonts w:ascii="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hAnsi="Cambria Math"/>
                <w:sz w:val="28"/>
                <w:szCs w:val="28"/>
              </w:rPr>
              <m:t>NG</m:t>
            </m:r>
          </m:e>
          <m:sub>
            <m:r>
              <w:rPr>
                <w:rFonts w:ascii="Cambria Math" w:hAnsi="Cambria Math"/>
                <w:sz w:val="28"/>
                <w:szCs w:val="28"/>
              </w:rPr>
              <m:t>n</m:t>
            </m:r>
          </m:sub>
        </m:sSub>
        <m:r>
          <w:rPr>
            <w:rFonts w:ascii="Cambria Math" w:eastAsia="Times New Roman" w:hAnsi="Cambria Math" w:cs="Times New Roman"/>
            <w:sz w:val="28"/>
            <w:szCs w:val="28"/>
          </w:rPr>
          <m:t xml:space="preserve"> </m:t>
        </m:r>
      </m:oMath>
      <w:r w:rsidR="0033297E">
        <w:rPr>
          <w:rFonts w:ascii="Times New Roman" w:hAnsi="Times New Roman" w:cs="Times New Roman"/>
          <w:sz w:val="28"/>
          <w:szCs w:val="28"/>
        </w:rPr>
        <w:t>-</w:t>
      </w:r>
      <w:bookmarkStart w:id="0" w:name="_GoBack"/>
      <w:bookmarkEnd w:id="0"/>
      <w:r w:rsidR="00247251" w:rsidRPr="00F12902">
        <w:rPr>
          <w:rFonts w:ascii="Times New Roman" w:hAnsi="Times New Roman" w:cs="Times New Roman"/>
          <w:sz w:val="28"/>
          <w:szCs w:val="28"/>
        </w:rPr>
        <w:t xml:space="preserve"> the neutral holding gain of the asset </w:t>
      </w:r>
      <w:r w:rsidR="00247251" w:rsidRPr="00F12902">
        <w:rPr>
          <w:rFonts w:ascii="Times New Roman" w:hAnsi="Times New Roman" w:cs="Times New Roman"/>
          <w:sz w:val="28"/>
          <w:szCs w:val="28"/>
          <w:lang w:val="en-US"/>
        </w:rPr>
        <w:t xml:space="preserve">n </w:t>
      </w:r>
      <w:r w:rsidR="00247251" w:rsidRPr="00F12902">
        <w:rPr>
          <w:rFonts w:ascii="Times New Roman" w:hAnsi="Times New Roman" w:cs="Times New Roman"/>
          <w:sz w:val="28"/>
          <w:szCs w:val="28"/>
        </w:rPr>
        <w:t>.</w:t>
      </w:r>
    </w:p>
    <w:p w:rsidR="006C4312" w:rsidRDefault="006C4312" w:rsidP="006C4312">
      <w:pPr>
        <w:pStyle w:val="aa"/>
        <w:numPr>
          <w:ilvl w:val="0"/>
          <w:numId w:val="1"/>
        </w:numPr>
        <w:tabs>
          <w:tab w:val="left" w:pos="851"/>
          <w:tab w:val="left" w:pos="1134"/>
        </w:tabs>
        <w:spacing w:line="240" w:lineRule="auto"/>
        <w:ind w:left="0" w:firstLine="709"/>
        <w:jc w:val="both"/>
        <w:rPr>
          <w:rFonts w:ascii="Times New Roman" w:hAnsi="Times New Roman"/>
          <w:sz w:val="28"/>
          <w:szCs w:val="28"/>
        </w:rPr>
      </w:pPr>
      <w:r w:rsidRPr="00247251">
        <w:rPr>
          <w:rFonts w:ascii="Times New Roman" w:hAnsi="Times New Roman"/>
          <w:sz w:val="28"/>
          <w:szCs w:val="28"/>
        </w:rPr>
        <w:t>The value of real holding gains on assets depends on changes in their prices in the period under review. An increase in the relative price of an asset leads to positive real holding gains, and a decrease in the relative price of an asset leads to negative real holding gains, whether the general price level rises, falls, or stays the same.</w:t>
      </w:r>
    </w:p>
    <w:p w:rsidR="006C4312" w:rsidRDefault="006C4312" w:rsidP="006C4312">
      <w:pPr>
        <w:pStyle w:val="aa"/>
        <w:numPr>
          <w:ilvl w:val="0"/>
          <w:numId w:val="1"/>
        </w:numPr>
        <w:tabs>
          <w:tab w:val="left" w:pos="851"/>
          <w:tab w:val="left" w:pos="1134"/>
        </w:tabs>
        <w:spacing w:line="240" w:lineRule="auto"/>
        <w:ind w:left="0" w:firstLine="709"/>
        <w:jc w:val="both"/>
        <w:rPr>
          <w:rFonts w:ascii="Times New Roman" w:hAnsi="Times New Roman"/>
          <w:sz w:val="28"/>
          <w:szCs w:val="28"/>
        </w:rPr>
      </w:pPr>
      <w:r w:rsidRPr="009F266E">
        <w:rPr>
          <w:rFonts w:ascii="Times New Roman" w:hAnsi="Times New Roman"/>
          <w:sz w:val="28"/>
          <w:szCs w:val="28"/>
        </w:rPr>
        <w:t>The Account's balancing item is defined as the algebraic sum of positive or negative entries characterizing the nominal change in all assets and liabilities held by an institutional unit.</w:t>
      </w:r>
    </w:p>
    <w:p w:rsidR="006C4312" w:rsidRPr="00417B33" w:rsidRDefault="006C4312" w:rsidP="006C4312">
      <w:pPr>
        <w:pStyle w:val="aa"/>
        <w:numPr>
          <w:ilvl w:val="0"/>
          <w:numId w:val="1"/>
        </w:numPr>
        <w:tabs>
          <w:tab w:val="left" w:pos="851"/>
          <w:tab w:val="left" w:pos="1134"/>
        </w:tabs>
        <w:spacing w:line="240" w:lineRule="auto"/>
        <w:ind w:left="0" w:firstLine="709"/>
        <w:jc w:val="both"/>
        <w:rPr>
          <w:rFonts w:ascii="Times New Roman" w:hAnsi="Times New Roman"/>
          <w:sz w:val="28"/>
        </w:rPr>
      </w:pPr>
      <w:r w:rsidRPr="003D35B9">
        <w:rPr>
          <w:rFonts w:ascii="Times New Roman" w:hAnsi="Times New Roman"/>
          <w:sz w:val="28"/>
        </w:rPr>
        <w:t>The score is based on administrative data and is an experimental work. Experimental calculations will be introduced into practice after the completion of all calculations.</w:t>
      </w:r>
    </w:p>
    <w:p w:rsidR="00A917A3" w:rsidRPr="009F266E" w:rsidRDefault="00A917A3" w:rsidP="006C4312">
      <w:pPr>
        <w:pStyle w:val="aa"/>
        <w:tabs>
          <w:tab w:val="left" w:pos="851"/>
          <w:tab w:val="left" w:pos="1134"/>
        </w:tabs>
        <w:spacing w:line="240" w:lineRule="auto"/>
        <w:ind w:left="709"/>
        <w:jc w:val="both"/>
        <w:rPr>
          <w:rFonts w:ascii="Times New Roman" w:hAnsi="Times New Roman" w:cs="Times New Roman"/>
          <w:sz w:val="28"/>
          <w:szCs w:val="28"/>
        </w:rPr>
      </w:pPr>
    </w:p>
    <w:p w:rsidR="006B02B8" w:rsidRPr="003763AB" w:rsidRDefault="006B02B8" w:rsidP="00055548">
      <w:pPr>
        <w:pStyle w:val="aa"/>
        <w:spacing w:line="240" w:lineRule="auto"/>
        <w:ind w:left="852"/>
        <w:jc w:val="both"/>
        <w:rPr>
          <w:rFonts w:ascii="Times New Roman" w:hAnsi="Times New Roman" w:cs="Times New Roman"/>
          <w:sz w:val="28"/>
          <w:szCs w:val="28"/>
        </w:rPr>
      </w:pPr>
    </w:p>
    <w:p w:rsidR="00A917A3" w:rsidRPr="00A917A3" w:rsidRDefault="00A917A3" w:rsidP="00A917A3">
      <w:pPr>
        <w:tabs>
          <w:tab w:val="left" w:pos="851"/>
          <w:tab w:val="left" w:pos="1276"/>
        </w:tabs>
        <w:spacing w:line="240" w:lineRule="auto"/>
        <w:jc w:val="both"/>
        <w:rPr>
          <w:rFonts w:ascii="Times New Roman" w:hAnsi="Times New Roman" w:cs="Times New Roman"/>
          <w:sz w:val="28"/>
          <w:szCs w:val="28"/>
        </w:rPr>
      </w:pPr>
    </w:p>
    <w:p w:rsidR="00AF353E" w:rsidRPr="00F12902" w:rsidRDefault="00AF353E" w:rsidP="004924CE">
      <w:pPr>
        <w:tabs>
          <w:tab w:val="left" w:pos="851"/>
        </w:tabs>
        <w:rPr>
          <w:rFonts w:ascii="Times New Roman" w:hAnsi="Times New Roman" w:cs="Times New Roman"/>
          <w:sz w:val="28"/>
          <w:szCs w:val="28"/>
        </w:rPr>
      </w:pPr>
      <w:r w:rsidRPr="00F12902">
        <w:rPr>
          <w:rFonts w:ascii="Times New Roman" w:hAnsi="Times New Roman" w:cs="Times New Roman"/>
          <w:sz w:val="28"/>
          <w:szCs w:val="28"/>
        </w:rPr>
        <w:br w:type="page"/>
      </w:r>
    </w:p>
    <w:p w:rsidR="006A48DD" w:rsidRPr="00F12902" w:rsidRDefault="005D45C8" w:rsidP="005D45C8">
      <w:pPr>
        <w:tabs>
          <w:tab w:val="left" w:pos="851"/>
        </w:tabs>
        <w:spacing w:after="0" w:line="240" w:lineRule="auto"/>
        <w:ind w:left="6521"/>
        <w:jc w:val="both"/>
        <w:rPr>
          <w:rFonts w:ascii="Times New Roman" w:hAnsi="Times New Roman" w:cs="Times New Roman"/>
          <w:sz w:val="28"/>
          <w:szCs w:val="28"/>
        </w:rPr>
      </w:pPr>
      <w:r w:rsidRPr="005D45C8">
        <w:rPr>
          <w:rFonts w:ascii="Times New Roman" w:hAnsi="Times New Roman" w:cs="Times New Roman"/>
          <w:sz w:val="28"/>
          <w:szCs w:val="28"/>
        </w:rPr>
        <w:lastRenderedPageBreak/>
        <w:t>Appendix to the Methodology for compiling a revaluation account</w:t>
      </w:r>
    </w:p>
    <w:p w:rsidR="006A48DD" w:rsidRPr="00F12902" w:rsidRDefault="006A48DD" w:rsidP="004924CE">
      <w:pPr>
        <w:tabs>
          <w:tab w:val="left" w:pos="851"/>
        </w:tabs>
        <w:spacing w:after="0" w:line="240" w:lineRule="auto"/>
        <w:ind w:firstLine="709"/>
        <w:jc w:val="right"/>
        <w:rPr>
          <w:rFonts w:ascii="Times New Roman" w:hAnsi="Times New Roman" w:cs="Times New Roman"/>
          <w:sz w:val="28"/>
          <w:szCs w:val="28"/>
        </w:rPr>
      </w:pPr>
    </w:p>
    <w:p w:rsidR="006A48DD" w:rsidRPr="00F12902" w:rsidRDefault="006A48DD" w:rsidP="004924CE">
      <w:pPr>
        <w:tabs>
          <w:tab w:val="left" w:pos="851"/>
        </w:tabs>
        <w:spacing w:after="0" w:line="240" w:lineRule="auto"/>
        <w:ind w:firstLine="709"/>
        <w:jc w:val="right"/>
        <w:rPr>
          <w:rFonts w:ascii="Times New Roman" w:eastAsia="Times New Roman" w:hAnsi="Times New Roman" w:cs="Times New Roman"/>
          <w:sz w:val="28"/>
          <w:szCs w:val="28"/>
        </w:rPr>
      </w:pPr>
    </w:p>
    <w:p w:rsidR="007C7290" w:rsidRPr="00F12902" w:rsidRDefault="007C7290" w:rsidP="004924CE">
      <w:pPr>
        <w:tabs>
          <w:tab w:val="left" w:pos="851"/>
        </w:tabs>
        <w:spacing w:after="0" w:line="240" w:lineRule="auto"/>
        <w:jc w:val="center"/>
        <w:rPr>
          <w:rFonts w:ascii="Times New Roman" w:eastAsia="Times New Roman" w:hAnsi="Times New Roman" w:cs="Times New Roman"/>
          <w:b/>
          <w:sz w:val="28"/>
          <w:szCs w:val="28"/>
        </w:rPr>
      </w:pPr>
      <w:r w:rsidRPr="00F12902">
        <w:rPr>
          <w:rFonts w:ascii="Times New Roman" w:eastAsia="Times New Roman" w:hAnsi="Times New Roman" w:cs="Times New Roman"/>
          <w:b/>
          <w:sz w:val="28"/>
          <w:szCs w:val="28"/>
        </w:rPr>
        <w:t>Account Structure</w:t>
      </w:r>
    </w:p>
    <w:p w:rsidR="001950B9" w:rsidRPr="00F12902" w:rsidRDefault="001950B9" w:rsidP="004924CE">
      <w:pPr>
        <w:tabs>
          <w:tab w:val="left" w:pos="851"/>
        </w:tabs>
        <w:autoSpaceDE w:val="0"/>
        <w:autoSpaceDN w:val="0"/>
        <w:adjustRightInd w:val="0"/>
        <w:spacing w:after="0" w:line="240" w:lineRule="auto"/>
        <w:jc w:val="both"/>
        <w:rPr>
          <w:rFonts w:ascii="Times New Roman" w:hAnsi="Times New Roman" w:cs="Times New Roman"/>
          <w:sz w:val="28"/>
          <w:szCs w:val="28"/>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1950B9" w:rsidRPr="00F12902" w:rsidTr="00F0133A">
        <w:tc>
          <w:tcPr>
            <w:tcW w:w="4785" w:type="dxa"/>
            <w:vAlign w:val="center"/>
          </w:tcPr>
          <w:p w:rsidR="001950B9" w:rsidRPr="00F12902" w:rsidRDefault="001950B9" w:rsidP="004924CE">
            <w:pPr>
              <w:tabs>
                <w:tab w:val="left" w:pos="851"/>
              </w:tabs>
              <w:autoSpaceDE w:val="0"/>
              <w:autoSpaceDN w:val="0"/>
              <w:adjustRightInd w:val="0"/>
              <w:jc w:val="center"/>
              <w:rPr>
                <w:rFonts w:ascii="Times New Roman" w:eastAsia="Times New Roman" w:hAnsi="Times New Roman" w:cs="Times New Roman"/>
                <w:sz w:val="24"/>
                <w:szCs w:val="24"/>
              </w:rPr>
            </w:pPr>
            <w:r w:rsidRPr="00F12902">
              <w:rPr>
                <w:rFonts w:ascii="Times New Roman" w:hAnsi="Times New Roman" w:cs="Times New Roman"/>
                <w:b/>
                <w:bCs/>
                <w:sz w:val="24"/>
                <w:szCs w:val="24"/>
              </w:rPr>
              <w:t>Changes in assets</w:t>
            </w:r>
          </w:p>
        </w:tc>
        <w:tc>
          <w:tcPr>
            <w:tcW w:w="4962" w:type="dxa"/>
            <w:vAlign w:val="center"/>
          </w:tcPr>
          <w:p w:rsidR="001950B9" w:rsidRPr="00F12902" w:rsidRDefault="001950B9" w:rsidP="004924CE">
            <w:pPr>
              <w:tabs>
                <w:tab w:val="left" w:pos="851"/>
              </w:tabs>
              <w:autoSpaceDE w:val="0"/>
              <w:autoSpaceDN w:val="0"/>
              <w:adjustRightInd w:val="0"/>
              <w:jc w:val="center"/>
              <w:rPr>
                <w:rFonts w:ascii="Times New Roman" w:hAnsi="Times New Roman" w:cs="Times New Roman"/>
                <w:b/>
                <w:bCs/>
                <w:sz w:val="24"/>
                <w:szCs w:val="24"/>
              </w:rPr>
            </w:pPr>
            <w:r w:rsidRPr="00F12902">
              <w:rPr>
                <w:rFonts w:ascii="Times New Roman" w:hAnsi="Times New Roman" w:cs="Times New Roman"/>
                <w:b/>
                <w:bCs/>
                <w:sz w:val="24"/>
                <w:szCs w:val="24"/>
              </w:rPr>
              <w:t>Changes in liabilities</w:t>
            </w:r>
          </w:p>
          <w:p w:rsidR="001950B9" w:rsidRPr="00F12902" w:rsidRDefault="001950B9" w:rsidP="004924CE">
            <w:pPr>
              <w:tabs>
                <w:tab w:val="left" w:pos="851"/>
              </w:tabs>
              <w:autoSpaceDE w:val="0"/>
              <w:autoSpaceDN w:val="0"/>
              <w:adjustRightInd w:val="0"/>
              <w:jc w:val="center"/>
              <w:rPr>
                <w:rFonts w:ascii="Times New Roman" w:hAnsi="Times New Roman" w:cs="Times New Roman"/>
                <w:b/>
                <w:bCs/>
                <w:sz w:val="24"/>
                <w:szCs w:val="24"/>
              </w:rPr>
            </w:pPr>
            <w:r w:rsidRPr="00F12902">
              <w:rPr>
                <w:rFonts w:ascii="Times New Roman" w:hAnsi="Times New Roman" w:cs="Times New Roman"/>
                <w:b/>
                <w:bCs/>
                <w:sz w:val="24"/>
                <w:szCs w:val="24"/>
              </w:rPr>
              <w:t>and net worth</w:t>
            </w:r>
          </w:p>
        </w:tc>
      </w:tr>
      <w:tr w:rsidR="001950B9" w:rsidRPr="00F12902" w:rsidTr="00F0133A">
        <w:trPr>
          <w:trHeight w:val="316"/>
        </w:trPr>
        <w:tc>
          <w:tcPr>
            <w:tcW w:w="4785" w:type="dxa"/>
            <w:vAlign w:val="center"/>
          </w:tcPr>
          <w:p w:rsidR="001950B9" w:rsidRPr="00F12902" w:rsidRDefault="001950B9" w:rsidP="004924CE">
            <w:pPr>
              <w:tabs>
                <w:tab w:val="left" w:pos="851"/>
              </w:tabs>
              <w:rPr>
                <w:rFonts w:ascii="Times New Roman" w:eastAsia="Times New Roman" w:hAnsi="Times New Roman" w:cs="Times New Roman"/>
                <w:b/>
                <w:sz w:val="24"/>
                <w:szCs w:val="24"/>
                <w:lang w:val="kk-KZ"/>
              </w:rPr>
            </w:pPr>
            <w:r w:rsidRPr="00F12902">
              <w:rPr>
                <w:rFonts w:ascii="Times New Roman" w:hAnsi="Times New Roman" w:cs="Times New Roman"/>
                <w:b/>
                <w:i/>
                <w:iCs/>
                <w:sz w:val="24"/>
                <w:szCs w:val="24"/>
              </w:rPr>
              <w:t xml:space="preserve">Nominal holding gains and </w:t>
            </w:r>
            <w:r w:rsidR="005F02A3" w:rsidRPr="00F12902">
              <w:rPr>
                <w:rFonts w:ascii="Times New Roman" w:hAnsi="Times New Roman" w:cs="Times New Roman"/>
                <w:b/>
                <w:i/>
                <w:iCs/>
                <w:sz w:val="24"/>
                <w:szCs w:val="24"/>
                <w:lang w:val="kk-KZ"/>
              </w:rPr>
              <w:t>losses</w:t>
            </w:r>
          </w:p>
        </w:tc>
        <w:tc>
          <w:tcPr>
            <w:tcW w:w="4962" w:type="dxa"/>
            <w:vAlign w:val="center"/>
          </w:tcPr>
          <w:p w:rsidR="001950B9" w:rsidRPr="00F12902" w:rsidRDefault="001950B9" w:rsidP="004924CE">
            <w:pPr>
              <w:tabs>
                <w:tab w:val="left" w:pos="851"/>
              </w:tabs>
              <w:rPr>
                <w:rFonts w:ascii="Times New Roman" w:eastAsia="Times New Roman" w:hAnsi="Times New Roman" w:cs="Times New Roman"/>
                <w:b/>
                <w:sz w:val="24"/>
                <w:szCs w:val="24"/>
                <w:lang w:val="kk-KZ"/>
              </w:rPr>
            </w:pPr>
            <w:r w:rsidRPr="00F12902">
              <w:rPr>
                <w:rFonts w:ascii="Times New Roman" w:hAnsi="Times New Roman" w:cs="Times New Roman"/>
                <w:b/>
                <w:i/>
                <w:iCs/>
                <w:sz w:val="24"/>
                <w:szCs w:val="24"/>
              </w:rPr>
              <w:t xml:space="preserve">Nominal holding gains and </w:t>
            </w:r>
            <w:r w:rsidR="005F02A3" w:rsidRPr="00F12902">
              <w:rPr>
                <w:rFonts w:ascii="Times New Roman" w:hAnsi="Times New Roman" w:cs="Times New Roman"/>
                <w:b/>
                <w:i/>
                <w:iCs/>
                <w:sz w:val="24"/>
                <w:szCs w:val="24"/>
                <w:lang w:val="kk-KZ"/>
              </w:rPr>
              <w:t>losses</w:t>
            </w:r>
          </w:p>
        </w:tc>
      </w:tr>
      <w:tr w:rsidR="001950B9" w:rsidRPr="00F12902" w:rsidTr="00F0133A">
        <w:tc>
          <w:tcPr>
            <w:tcW w:w="4785" w:type="dxa"/>
          </w:tcPr>
          <w:p w:rsidR="001950B9" w:rsidRPr="00F12902" w:rsidRDefault="001950B9" w:rsidP="004924CE">
            <w:pPr>
              <w:tabs>
                <w:tab w:val="left" w:pos="851"/>
              </w:tabs>
              <w:jc w:val="both"/>
              <w:rPr>
                <w:rFonts w:ascii="Times New Roman" w:eastAsia="Times New Roman" w:hAnsi="Times New Roman" w:cs="Times New Roman"/>
                <w:sz w:val="24"/>
                <w:szCs w:val="24"/>
              </w:rPr>
            </w:pPr>
            <w:r w:rsidRPr="00F12902">
              <w:rPr>
                <w:rFonts w:ascii="Times New Roman" w:hAnsi="Times New Roman" w:cs="Times New Roman"/>
                <w:sz w:val="24"/>
                <w:szCs w:val="24"/>
              </w:rPr>
              <w:t>Non-financial assets</w:t>
            </w:r>
          </w:p>
        </w:tc>
        <w:tc>
          <w:tcPr>
            <w:tcW w:w="4962" w:type="dxa"/>
          </w:tcPr>
          <w:p w:rsidR="001950B9" w:rsidRPr="00F12902" w:rsidRDefault="001950B9" w:rsidP="004924CE">
            <w:pPr>
              <w:tabs>
                <w:tab w:val="left" w:pos="851"/>
              </w:tabs>
              <w:jc w:val="both"/>
              <w:rPr>
                <w:rFonts w:ascii="Times New Roman" w:eastAsia="Times New Roman" w:hAnsi="Times New Roman" w:cs="Times New Roman"/>
                <w:sz w:val="24"/>
                <w:szCs w:val="24"/>
              </w:rPr>
            </w:pPr>
            <w:r w:rsidRPr="00F12902">
              <w:rPr>
                <w:rFonts w:ascii="Times New Roman" w:hAnsi="Times New Roman" w:cs="Times New Roman"/>
                <w:sz w:val="24"/>
                <w:szCs w:val="24"/>
              </w:rPr>
              <w:t>Non-financial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ind w:left="284"/>
              <w:rPr>
                <w:rFonts w:ascii="Times New Roman" w:hAnsi="Times New Roman" w:cs="Times New Roman"/>
                <w:sz w:val="24"/>
                <w:szCs w:val="24"/>
              </w:rPr>
            </w:pPr>
            <w:r w:rsidRPr="00F12902">
              <w:rPr>
                <w:rFonts w:ascii="Times New Roman" w:hAnsi="Times New Roman" w:cs="Times New Roman"/>
                <w:sz w:val="24"/>
                <w:szCs w:val="24"/>
              </w:rPr>
              <w:t>Produced assets</w:t>
            </w:r>
          </w:p>
        </w:tc>
        <w:tc>
          <w:tcPr>
            <w:tcW w:w="4962" w:type="dxa"/>
          </w:tcPr>
          <w:p w:rsidR="001950B9" w:rsidRPr="00F12902" w:rsidRDefault="001950B9" w:rsidP="004924CE">
            <w:pPr>
              <w:tabs>
                <w:tab w:val="left" w:pos="851"/>
              </w:tabs>
              <w:ind w:left="318"/>
              <w:jc w:val="both"/>
              <w:rPr>
                <w:rFonts w:ascii="Times New Roman" w:eastAsia="Times New Roman" w:hAnsi="Times New Roman" w:cs="Times New Roman"/>
                <w:sz w:val="24"/>
                <w:szCs w:val="24"/>
              </w:rPr>
            </w:pPr>
            <w:r w:rsidRPr="00F12902">
              <w:rPr>
                <w:rFonts w:ascii="Times New Roman" w:hAnsi="Times New Roman" w:cs="Times New Roman"/>
                <w:sz w:val="24"/>
                <w:szCs w:val="24"/>
              </w:rPr>
              <w:t>Produced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ind w:left="284"/>
              <w:rPr>
                <w:rFonts w:ascii="Times New Roman" w:hAnsi="Times New Roman" w:cs="Times New Roman"/>
                <w:sz w:val="24"/>
                <w:szCs w:val="24"/>
              </w:rPr>
            </w:pPr>
            <w:r w:rsidRPr="00F12902">
              <w:rPr>
                <w:rFonts w:ascii="Times New Roman" w:hAnsi="Times New Roman" w:cs="Times New Roman"/>
                <w:sz w:val="24"/>
                <w:szCs w:val="24"/>
              </w:rPr>
              <w:t>Non-produced assets</w:t>
            </w:r>
          </w:p>
        </w:tc>
        <w:tc>
          <w:tcPr>
            <w:tcW w:w="4962" w:type="dxa"/>
          </w:tcPr>
          <w:p w:rsidR="001950B9" w:rsidRPr="00F12902" w:rsidRDefault="001950B9" w:rsidP="004924CE">
            <w:pPr>
              <w:tabs>
                <w:tab w:val="left" w:pos="851"/>
              </w:tabs>
              <w:ind w:left="318"/>
              <w:jc w:val="both"/>
              <w:rPr>
                <w:rFonts w:ascii="Times New Roman" w:eastAsia="Times New Roman" w:hAnsi="Times New Roman" w:cs="Times New Roman"/>
                <w:sz w:val="24"/>
                <w:szCs w:val="24"/>
              </w:rPr>
            </w:pPr>
            <w:r w:rsidRPr="00F12902">
              <w:rPr>
                <w:rFonts w:ascii="Times New Roman" w:hAnsi="Times New Roman" w:cs="Times New Roman"/>
                <w:sz w:val="24"/>
                <w:szCs w:val="24"/>
              </w:rPr>
              <w:t>Non-produced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sz w:val="24"/>
                <w:szCs w:val="24"/>
              </w:rPr>
            </w:pPr>
            <w:r w:rsidRPr="00F12902">
              <w:rPr>
                <w:rFonts w:ascii="Times New Roman" w:hAnsi="Times New Roman" w:cs="Times New Roman"/>
                <w:sz w:val="24"/>
                <w:szCs w:val="24"/>
              </w:rPr>
              <w:t>Financial assets/ liabilities</w:t>
            </w:r>
          </w:p>
        </w:tc>
        <w:tc>
          <w:tcPr>
            <w:tcW w:w="4962" w:type="dxa"/>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sz w:val="24"/>
                <w:szCs w:val="24"/>
              </w:rPr>
            </w:pPr>
            <w:r w:rsidRPr="00F12902">
              <w:rPr>
                <w:rFonts w:ascii="Times New Roman" w:hAnsi="Times New Roman" w:cs="Times New Roman"/>
                <w:sz w:val="24"/>
                <w:szCs w:val="24"/>
              </w:rPr>
              <w:t>Financial assets/ liabilities</w:t>
            </w:r>
          </w:p>
        </w:tc>
      </w:tr>
      <w:tr w:rsidR="001950B9" w:rsidRPr="00F12902" w:rsidTr="00F0133A">
        <w:tc>
          <w:tcPr>
            <w:tcW w:w="4785" w:type="dxa"/>
          </w:tcPr>
          <w:p w:rsidR="001950B9" w:rsidRPr="00F12902" w:rsidRDefault="001950B9" w:rsidP="004924CE">
            <w:pPr>
              <w:tabs>
                <w:tab w:val="left" w:pos="851"/>
              </w:tabs>
              <w:jc w:val="both"/>
              <w:rPr>
                <w:rFonts w:ascii="Times New Roman" w:eastAsia="Times New Roman" w:hAnsi="Times New Roman" w:cs="Times New Roman"/>
                <w:sz w:val="24"/>
                <w:szCs w:val="24"/>
              </w:rPr>
            </w:pPr>
          </w:p>
        </w:tc>
        <w:tc>
          <w:tcPr>
            <w:tcW w:w="4962" w:type="dxa"/>
          </w:tcPr>
          <w:p w:rsidR="001950B9" w:rsidRPr="00F12902" w:rsidRDefault="001950B9" w:rsidP="004924CE">
            <w:pPr>
              <w:tabs>
                <w:tab w:val="left" w:pos="851"/>
              </w:tabs>
              <w:autoSpaceDE w:val="0"/>
              <w:autoSpaceDN w:val="0"/>
              <w:adjustRightInd w:val="0"/>
              <w:rPr>
                <w:rFonts w:ascii="Times New Roman" w:hAnsi="Times New Roman" w:cs="Times New Roman"/>
                <w:b/>
                <w:i/>
                <w:iCs/>
                <w:sz w:val="16"/>
                <w:szCs w:val="16"/>
              </w:rPr>
            </w:pPr>
          </w:p>
          <w:p w:rsidR="001950B9" w:rsidRPr="00F12902" w:rsidRDefault="001950B9" w:rsidP="004924CE">
            <w:pPr>
              <w:tabs>
                <w:tab w:val="left" w:pos="851"/>
              </w:tabs>
              <w:autoSpaceDE w:val="0"/>
              <w:autoSpaceDN w:val="0"/>
              <w:adjustRightInd w:val="0"/>
              <w:rPr>
                <w:rFonts w:ascii="Times New Roman" w:hAnsi="Times New Roman" w:cs="Times New Roman"/>
                <w:b/>
                <w:i/>
                <w:iCs/>
                <w:sz w:val="24"/>
                <w:szCs w:val="24"/>
              </w:rPr>
            </w:pPr>
            <w:r w:rsidRPr="00F12902">
              <w:rPr>
                <w:rFonts w:ascii="Times New Roman" w:hAnsi="Times New Roman" w:cs="Times New Roman"/>
                <w:b/>
                <w:i/>
                <w:iCs/>
                <w:sz w:val="24"/>
                <w:szCs w:val="24"/>
              </w:rPr>
              <w:t>Change in net worth due to nominal holdings</w:t>
            </w:r>
          </w:p>
          <w:p w:rsidR="001950B9" w:rsidRPr="00F12902" w:rsidRDefault="001950B9" w:rsidP="004924CE">
            <w:pPr>
              <w:tabs>
                <w:tab w:val="left" w:pos="851"/>
              </w:tabs>
              <w:rPr>
                <w:rFonts w:ascii="Times New Roman" w:hAnsi="Times New Roman" w:cs="Times New Roman"/>
                <w:b/>
                <w:i/>
                <w:iCs/>
                <w:sz w:val="24"/>
                <w:szCs w:val="24"/>
              </w:rPr>
            </w:pPr>
            <w:r w:rsidRPr="00F12902">
              <w:rPr>
                <w:rFonts w:ascii="Times New Roman" w:hAnsi="Times New Roman" w:cs="Times New Roman"/>
                <w:b/>
                <w:i/>
                <w:iCs/>
                <w:sz w:val="24"/>
                <w:szCs w:val="24"/>
              </w:rPr>
              <w:t>profit and loss</w:t>
            </w:r>
          </w:p>
          <w:p w:rsidR="001950B9" w:rsidRPr="00F12902" w:rsidRDefault="001950B9" w:rsidP="004924CE">
            <w:pPr>
              <w:tabs>
                <w:tab w:val="left" w:pos="851"/>
              </w:tabs>
              <w:jc w:val="both"/>
              <w:rPr>
                <w:rFonts w:ascii="Times New Roman" w:hAnsi="Times New Roman" w:cs="Times New Roman"/>
                <w:b/>
                <w:i/>
                <w:iCs/>
                <w:sz w:val="16"/>
                <w:szCs w:val="16"/>
              </w:rPr>
            </w:pPr>
          </w:p>
        </w:tc>
      </w:tr>
      <w:tr w:rsidR="001950B9" w:rsidRPr="00F12902" w:rsidTr="00F0133A">
        <w:trPr>
          <w:trHeight w:val="415"/>
        </w:trPr>
        <w:tc>
          <w:tcPr>
            <w:tcW w:w="4785" w:type="dxa"/>
            <w:vAlign w:val="center"/>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b/>
                <w:sz w:val="24"/>
                <w:szCs w:val="24"/>
                <w:lang w:val="kk-KZ"/>
              </w:rPr>
            </w:pPr>
            <w:r w:rsidRPr="00F12902">
              <w:rPr>
                <w:rFonts w:ascii="Times New Roman" w:hAnsi="Times New Roman" w:cs="Times New Roman"/>
                <w:b/>
                <w:i/>
                <w:iCs/>
                <w:sz w:val="24"/>
                <w:szCs w:val="24"/>
              </w:rPr>
              <w:t xml:space="preserve">Neutral holding gains and </w:t>
            </w:r>
            <w:r w:rsidR="005F02A3" w:rsidRPr="00F12902">
              <w:rPr>
                <w:rFonts w:ascii="Times New Roman" w:hAnsi="Times New Roman" w:cs="Times New Roman"/>
                <w:b/>
                <w:i/>
                <w:iCs/>
                <w:sz w:val="24"/>
                <w:szCs w:val="24"/>
                <w:lang w:val="kk-KZ"/>
              </w:rPr>
              <w:t>losses</w:t>
            </w:r>
          </w:p>
        </w:tc>
        <w:tc>
          <w:tcPr>
            <w:tcW w:w="4962" w:type="dxa"/>
            <w:vAlign w:val="center"/>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b/>
                <w:sz w:val="24"/>
                <w:szCs w:val="24"/>
                <w:lang w:val="kk-KZ"/>
              </w:rPr>
            </w:pPr>
            <w:r w:rsidRPr="00F12902">
              <w:rPr>
                <w:rFonts w:ascii="Times New Roman" w:hAnsi="Times New Roman" w:cs="Times New Roman"/>
                <w:b/>
                <w:i/>
                <w:iCs/>
                <w:sz w:val="24"/>
                <w:szCs w:val="24"/>
              </w:rPr>
              <w:t xml:space="preserve">Neutral holding gains and </w:t>
            </w:r>
            <w:r w:rsidR="005F02A3" w:rsidRPr="00F12902">
              <w:rPr>
                <w:rFonts w:ascii="Times New Roman" w:hAnsi="Times New Roman" w:cs="Times New Roman"/>
                <w:b/>
                <w:i/>
                <w:iCs/>
                <w:sz w:val="24"/>
                <w:szCs w:val="24"/>
                <w:lang w:val="kk-KZ"/>
              </w:rPr>
              <w:t>losses</w:t>
            </w:r>
          </w:p>
        </w:tc>
      </w:tr>
      <w:tr w:rsidR="001950B9" w:rsidRPr="00F12902" w:rsidTr="00F0133A">
        <w:tc>
          <w:tcPr>
            <w:tcW w:w="4785" w:type="dxa"/>
          </w:tcPr>
          <w:p w:rsidR="001950B9" w:rsidRPr="00F12902" w:rsidRDefault="001950B9" w:rsidP="004924CE">
            <w:pPr>
              <w:tabs>
                <w:tab w:val="left" w:pos="851"/>
              </w:tabs>
              <w:jc w:val="both"/>
              <w:rPr>
                <w:rFonts w:ascii="Times New Roman" w:eastAsia="Times New Roman" w:hAnsi="Times New Roman" w:cs="Times New Roman"/>
                <w:sz w:val="24"/>
                <w:szCs w:val="24"/>
              </w:rPr>
            </w:pPr>
            <w:r w:rsidRPr="00F12902">
              <w:rPr>
                <w:rFonts w:ascii="Times New Roman" w:hAnsi="Times New Roman" w:cs="Times New Roman"/>
                <w:sz w:val="24"/>
                <w:szCs w:val="24"/>
              </w:rPr>
              <w:t>Non-financial assets</w:t>
            </w:r>
          </w:p>
        </w:tc>
        <w:tc>
          <w:tcPr>
            <w:tcW w:w="4962" w:type="dxa"/>
          </w:tcPr>
          <w:p w:rsidR="001950B9" w:rsidRPr="00F12902" w:rsidRDefault="001950B9" w:rsidP="004924CE">
            <w:pPr>
              <w:tabs>
                <w:tab w:val="left" w:pos="851"/>
              </w:tabs>
              <w:jc w:val="both"/>
              <w:rPr>
                <w:rFonts w:ascii="Times New Roman" w:eastAsia="Times New Roman" w:hAnsi="Times New Roman" w:cs="Times New Roman"/>
                <w:sz w:val="24"/>
                <w:szCs w:val="24"/>
              </w:rPr>
            </w:pPr>
            <w:r w:rsidRPr="00F12902">
              <w:rPr>
                <w:rFonts w:ascii="Times New Roman" w:hAnsi="Times New Roman" w:cs="Times New Roman"/>
                <w:sz w:val="24"/>
                <w:szCs w:val="24"/>
              </w:rPr>
              <w:t>Non-financial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ind w:left="284"/>
              <w:rPr>
                <w:rFonts w:ascii="Times New Roman" w:hAnsi="Times New Roman" w:cs="Times New Roman"/>
                <w:sz w:val="24"/>
                <w:szCs w:val="24"/>
              </w:rPr>
            </w:pPr>
            <w:r w:rsidRPr="00F12902">
              <w:rPr>
                <w:rFonts w:ascii="Times New Roman" w:hAnsi="Times New Roman" w:cs="Times New Roman"/>
                <w:sz w:val="24"/>
                <w:szCs w:val="24"/>
              </w:rPr>
              <w:t>Produced assets</w:t>
            </w:r>
          </w:p>
        </w:tc>
        <w:tc>
          <w:tcPr>
            <w:tcW w:w="4962" w:type="dxa"/>
          </w:tcPr>
          <w:p w:rsidR="001950B9" w:rsidRPr="00F12902" w:rsidRDefault="001950B9" w:rsidP="004924CE">
            <w:pPr>
              <w:tabs>
                <w:tab w:val="left" w:pos="851"/>
              </w:tabs>
              <w:ind w:left="318"/>
              <w:jc w:val="both"/>
              <w:rPr>
                <w:rFonts w:ascii="Times New Roman" w:eastAsia="Times New Roman" w:hAnsi="Times New Roman" w:cs="Times New Roman"/>
                <w:sz w:val="24"/>
                <w:szCs w:val="24"/>
              </w:rPr>
            </w:pPr>
            <w:r w:rsidRPr="00F12902">
              <w:rPr>
                <w:rFonts w:ascii="Times New Roman" w:hAnsi="Times New Roman" w:cs="Times New Roman"/>
                <w:sz w:val="24"/>
                <w:szCs w:val="24"/>
              </w:rPr>
              <w:t>Produced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ind w:left="284"/>
              <w:rPr>
                <w:rFonts w:ascii="Times New Roman" w:hAnsi="Times New Roman" w:cs="Times New Roman"/>
                <w:sz w:val="24"/>
                <w:szCs w:val="24"/>
              </w:rPr>
            </w:pPr>
            <w:r w:rsidRPr="00F12902">
              <w:rPr>
                <w:rFonts w:ascii="Times New Roman" w:hAnsi="Times New Roman" w:cs="Times New Roman"/>
                <w:sz w:val="24"/>
                <w:szCs w:val="24"/>
              </w:rPr>
              <w:t>Non-produced assets</w:t>
            </w:r>
          </w:p>
        </w:tc>
        <w:tc>
          <w:tcPr>
            <w:tcW w:w="4962" w:type="dxa"/>
          </w:tcPr>
          <w:p w:rsidR="001950B9" w:rsidRPr="00F12902" w:rsidRDefault="001950B9" w:rsidP="004924CE">
            <w:pPr>
              <w:tabs>
                <w:tab w:val="left" w:pos="851"/>
              </w:tabs>
              <w:ind w:left="318"/>
              <w:jc w:val="both"/>
              <w:rPr>
                <w:rFonts w:ascii="Times New Roman" w:eastAsia="Times New Roman" w:hAnsi="Times New Roman" w:cs="Times New Roman"/>
                <w:sz w:val="24"/>
                <w:szCs w:val="24"/>
              </w:rPr>
            </w:pPr>
            <w:r w:rsidRPr="00F12902">
              <w:rPr>
                <w:rFonts w:ascii="Times New Roman" w:hAnsi="Times New Roman" w:cs="Times New Roman"/>
                <w:sz w:val="24"/>
                <w:szCs w:val="24"/>
              </w:rPr>
              <w:t>Non-produced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sz w:val="24"/>
                <w:szCs w:val="24"/>
              </w:rPr>
            </w:pPr>
            <w:r w:rsidRPr="00F12902">
              <w:rPr>
                <w:rFonts w:ascii="Times New Roman" w:hAnsi="Times New Roman" w:cs="Times New Roman"/>
                <w:sz w:val="24"/>
                <w:szCs w:val="24"/>
              </w:rPr>
              <w:t>Financial assets/ liabilities</w:t>
            </w:r>
          </w:p>
        </w:tc>
        <w:tc>
          <w:tcPr>
            <w:tcW w:w="4962" w:type="dxa"/>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sz w:val="24"/>
                <w:szCs w:val="24"/>
              </w:rPr>
            </w:pPr>
            <w:r w:rsidRPr="00F12902">
              <w:rPr>
                <w:rFonts w:ascii="Times New Roman" w:hAnsi="Times New Roman" w:cs="Times New Roman"/>
                <w:sz w:val="24"/>
                <w:szCs w:val="24"/>
              </w:rPr>
              <w:t>Financial assets/ liabilities</w:t>
            </w:r>
          </w:p>
        </w:tc>
      </w:tr>
      <w:tr w:rsidR="001950B9" w:rsidRPr="00F12902" w:rsidTr="00F0133A">
        <w:tc>
          <w:tcPr>
            <w:tcW w:w="4785" w:type="dxa"/>
          </w:tcPr>
          <w:p w:rsidR="001950B9" w:rsidRPr="00F12902" w:rsidRDefault="001950B9" w:rsidP="004924CE">
            <w:pPr>
              <w:tabs>
                <w:tab w:val="left" w:pos="851"/>
              </w:tabs>
              <w:jc w:val="both"/>
              <w:rPr>
                <w:rFonts w:ascii="Times New Roman" w:eastAsia="Times New Roman" w:hAnsi="Times New Roman" w:cs="Times New Roman"/>
                <w:sz w:val="24"/>
                <w:szCs w:val="24"/>
              </w:rPr>
            </w:pPr>
          </w:p>
        </w:tc>
        <w:tc>
          <w:tcPr>
            <w:tcW w:w="4962" w:type="dxa"/>
          </w:tcPr>
          <w:p w:rsidR="001950B9" w:rsidRPr="00F12902" w:rsidRDefault="001950B9" w:rsidP="004924CE">
            <w:pPr>
              <w:tabs>
                <w:tab w:val="left" w:pos="851"/>
              </w:tabs>
              <w:autoSpaceDE w:val="0"/>
              <w:autoSpaceDN w:val="0"/>
              <w:adjustRightInd w:val="0"/>
              <w:rPr>
                <w:rFonts w:ascii="Times New Roman" w:hAnsi="Times New Roman" w:cs="Times New Roman"/>
                <w:b/>
                <w:i/>
                <w:iCs/>
                <w:sz w:val="16"/>
                <w:szCs w:val="16"/>
              </w:rPr>
            </w:pPr>
          </w:p>
          <w:p w:rsidR="001950B9" w:rsidRPr="00F12902" w:rsidRDefault="001950B9" w:rsidP="004924CE">
            <w:pPr>
              <w:tabs>
                <w:tab w:val="left" w:pos="851"/>
              </w:tabs>
              <w:autoSpaceDE w:val="0"/>
              <w:autoSpaceDN w:val="0"/>
              <w:adjustRightInd w:val="0"/>
              <w:rPr>
                <w:rFonts w:ascii="Times New Roman" w:hAnsi="Times New Roman" w:cs="Times New Roman"/>
                <w:b/>
                <w:i/>
                <w:iCs/>
                <w:sz w:val="24"/>
                <w:szCs w:val="24"/>
              </w:rPr>
            </w:pPr>
            <w:r w:rsidRPr="00F12902">
              <w:rPr>
                <w:rFonts w:ascii="Times New Roman" w:hAnsi="Times New Roman" w:cs="Times New Roman"/>
                <w:b/>
                <w:i/>
                <w:iCs/>
                <w:sz w:val="24"/>
                <w:szCs w:val="24"/>
              </w:rPr>
              <w:t>Change in net worth due to neutral holding gains and losses</w:t>
            </w:r>
          </w:p>
          <w:p w:rsidR="001950B9" w:rsidRPr="00F12902" w:rsidRDefault="001950B9" w:rsidP="004924CE">
            <w:pPr>
              <w:tabs>
                <w:tab w:val="left" w:pos="851"/>
              </w:tabs>
              <w:autoSpaceDE w:val="0"/>
              <w:autoSpaceDN w:val="0"/>
              <w:adjustRightInd w:val="0"/>
              <w:rPr>
                <w:rFonts w:ascii="Times New Roman" w:eastAsia="Times New Roman" w:hAnsi="Times New Roman" w:cs="Times New Roman"/>
                <w:sz w:val="16"/>
                <w:szCs w:val="16"/>
              </w:rPr>
            </w:pPr>
          </w:p>
        </w:tc>
      </w:tr>
      <w:tr w:rsidR="001950B9" w:rsidRPr="00F12902" w:rsidTr="00F0133A">
        <w:trPr>
          <w:trHeight w:val="275"/>
        </w:trPr>
        <w:tc>
          <w:tcPr>
            <w:tcW w:w="4785" w:type="dxa"/>
            <w:vAlign w:val="center"/>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b/>
                <w:sz w:val="24"/>
                <w:szCs w:val="24"/>
                <w:lang w:val="kk-KZ"/>
              </w:rPr>
            </w:pPr>
            <w:r w:rsidRPr="00F12902">
              <w:rPr>
                <w:rFonts w:ascii="Times New Roman" w:hAnsi="Times New Roman" w:cs="Times New Roman"/>
                <w:b/>
                <w:i/>
                <w:iCs/>
                <w:sz w:val="24"/>
                <w:szCs w:val="24"/>
              </w:rPr>
              <w:t xml:space="preserve">Real holding gains and </w:t>
            </w:r>
            <w:r w:rsidR="005F02A3" w:rsidRPr="00F12902">
              <w:rPr>
                <w:rFonts w:ascii="Times New Roman" w:hAnsi="Times New Roman" w:cs="Times New Roman"/>
                <w:b/>
                <w:i/>
                <w:iCs/>
                <w:sz w:val="24"/>
                <w:szCs w:val="24"/>
                <w:lang w:val="kk-KZ"/>
              </w:rPr>
              <w:t>losses</w:t>
            </w:r>
          </w:p>
        </w:tc>
        <w:tc>
          <w:tcPr>
            <w:tcW w:w="4962" w:type="dxa"/>
            <w:vAlign w:val="center"/>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b/>
                <w:sz w:val="24"/>
                <w:szCs w:val="24"/>
                <w:lang w:val="kk-KZ"/>
              </w:rPr>
            </w:pPr>
            <w:r w:rsidRPr="00F12902">
              <w:rPr>
                <w:rFonts w:ascii="Times New Roman" w:hAnsi="Times New Roman" w:cs="Times New Roman"/>
                <w:b/>
                <w:i/>
                <w:iCs/>
                <w:sz w:val="24"/>
                <w:szCs w:val="24"/>
              </w:rPr>
              <w:t xml:space="preserve">Real holding gains and </w:t>
            </w:r>
            <w:r w:rsidR="005F02A3" w:rsidRPr="00F12902">
              <w:rPr>
                <w:rFonts w:ascii="Times New Roman" w:hAnsi="Times New Roman" w:cs="Times New Roman"/>
                <w:b/>
                <w:i/>
                <w:iCs/>
                <w:sz w:val="24"/>
                <w:szCs w:val="24"/>
                <w:lang w:val="kk-KZ"/>
              </w:rPr>
              <w:t>losses</w:t>
            </w:r>
          </w:p>
        </w:tc>
      </w:tr>
      <w:tr w:rsidR="001950B9" w:rsidRPr="00F12902" w:rsidTr="00F0133A">
        <w:tc>
          <w:tcPr>
            <w:tcW w:w="4785" w:type="dxa"/>
          </w:tcPr>
          <w:p w:rsidR="001950B9" w:rsidRPr="00F12902" w:rsidRDefault="001950B9" w:rsidP="004924CE">
            <w:pPr>
              <w:tabs>
                <w:tab w:val="left" w:pos="851"/>
              </w:tabs>
              <w:jc w:val="both"/>
              <w:rPr>
                <w:rFonts w:ascii="Times New Roman" w:eastAsia="Times New Roman" w:hAnsi="Times New Roman" w:cs="Times New Roman"/>
                <w:sz w:val="24"/>
                <w:szCs w:val="24"/>
              </w:rPr>
            </w:pPr>
            <w:r w:rsidRPr="00F12902">
              <w:rPr>
                <w:rFonts w:ascii="Times New Roman" w:hAnsi="Times New Roman" w:cs="Times New Roman"/>
                <w:sz w:val="24"/>
                <w:szCs w:val="24"/>
              </w:rPr>
              <w:t>Non-financial assets</w:t>
            </w:r>
          </w:p>
        </w:tc>
        <w:tc>
          <w:tcPr>
            <w:tcW w:w="4962" w:type="dxa"/>
          </w:tcPr>
          <w:p w:rsidR="001950B9" w:rsidRPr="00F12902" w:rsidRDefault="001950B9" w:rsidP="004924CE">
            <w:pPr>
              <w:tabs>
                <w:tab w:val="left" w:pos="851"/>
              </w:tabs>
              <w:jc w:val="both"/>
              <w:rPr>
                <w:rFonts w:ascii="Times New Roman" w:eastAsia="Times New Roman" w:hAnsi="Times New Roman" w:cs="Times New Roman"/>
                <w:sz w:val="24"/>
                <w:szCs w:val="24"/>
              </w:rPr>
            </w:pPr>
            <w:r w:rsidRPr="00F12902">
              <w:rPr>
                <w:rFonts w:ascii="Times New Roman" w:hAnsi="Times New Roman" w:cs="Times New Roman"/>
                <w:sz w:val="24"/>
                <w:szCs w:val="24"/>
              </w:rPr>
              <w:t>Non-financial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ind w:left="284"/>
              <w:rPr>
                <w:rFonts w:ascii="Times New Roman" w:hAnsi="Times New Roman" w:cs="Times New Roman"/>
                <w:sz w:val="24"/>
                <w:szCs w:val="24"/>
              </w:rPr>
            </w:pPr>
            <w:r w:rsidRPr="00F12902">
              <w:rPr>
                <w:rFonts w:ascii="Times New Roman" w:hAnsi="Times New Roman" w:cs="Times New Roman"/>
                <w:sz w:val="24"/>
                <w:szCs w:val="24"/>
              </w:rPr>
              <w:t>Produced assets</w:t>
            </w:r>
          </w:p>
        </w:tc>
        <w:tc>
          <w:tcPr>
            <w:tcW w:w="4962" w:type="dxa"/>
          </w:tcPr>
          <w:p w:rsidR="001950B9" w:rsidRPr="00F12902" w:rsidRDefault="001950B9" w:rsidP="004924CE">
            <w:pPr>
              <w:tabs>
                <w:tab w:val="left" w:pos="851"/>
              </w:tabs>
              <w:autoSpaceDE w:val="0"/>
              <w:autoSpaceDN w:val="0"/>
              <w:adjustRightInd w:val="0"/>
              <w:ind w:left="284"/>
              <w:rPr>
                <w:rFonts w:ascii="Times New Roman" w:hAnsi="Times New Roman" w:cs="Times New Roman"/>
                <w:sz w:val="24"/>
                <w:szCs w:val="24"/>
              </w:rPr>
            </w:pPr>
            <w:r w:rsidRPr="00F12902">
              <w:rPr>
                <w:rFonts w:ascii="Times New Roman" w:hAnsi="Times New Roman" w:cs="Times New Roman"/>
                <w:sz w:val="24"/>
                <w:szCs w:val="24"/>
              </w:rPr>
              <w:t>Produced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ind w:left="284"/>
              <w:rPr>
                <w:rFonts w:ascii="Times New Roman" w:hAnsi="Times New Roman" w:cs="Times New Roman"/>
                <w:sz w:val="24"/>
                <w:szCs w:val="24"/>
              </w:rPr>
            </w:pPr>
            <w:r w:rsidRPr="00F12902">
              <w:rPr>
                <w:rFonts w:ascii="Times New Roman" w:hAnsi="Times New Roman" w:cs="Times New Roman"/>
                <w:sz w:val="24"/>
                <w:szCs w:val="24"/>
              </w:rPr>
              <w:t>Non-produced assets</w:t>
            </w:r>
          </w:p>
        </w:tc>
        <w:tc>
          <w:tcPr>
            <w:tcW w:w="4962" w:type="dxa"/>
          </w:tcPr>
          <w:p w:rsidR="001950B9" w:rsidRPr="00F12902" w:rsidRDefault="001950B9" w:rsidP="004924CE">
            <w:pPr>
              <w:tabs>
                <w:tab w:val="left" w:pos="851"/>
              </w:tabs>
              <w:autoSpaceDE w:val="0"/>
              <w:autoSpaceDN w:val="0"/>
              <w:adjustRightInd w:val="0"/>
              <w:ind w:left="284"/>
              <w:rPr>
                <w:rFonts w:ascii="Times New Roman" w:hAnsi="Times New Roman" w:cs="Times New Roman"/>
                <w:sz w:val="24"/>
                <w:szCs w:val="24"/>
              </w:rPr>
            </w:pPr>
            <w:r w:rsidRPr="00F12902">
              <w:rPr>
                <w:rFonts w:ascii="Times New Roman" w:hAnsi="Times New Roman" w:cs="Times New Roman"/>
                <w:sz w:val="24"/>
                <w:szCs w:val="24"/>
              </w:rPr>
              <w:t>Non-produced assets</w:t>
            </w:r>
          </w:p>
        </w:tc>
      </w:tr>
      <w:tr w:rsidR="001950B9" w:rsidRPr="00F12902" w:rsidTr="00F0133A">
        <w:tc>
          <w:tcPr>
            <w:tcW w:w="4785" w:type="dxa"/>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sz w:val="24"/>
                <w:szCs w:val="24"/>
              </w:rPr>
            </w:pPr>
            <w:r w:rsidRPr="00F12902">
              <w:rPr>
                <w:rFonts w:ascii="Times New Roman" w:hAnsi="Times New Roman" w:cs="Times New Roman"/>
                <w:sz w:val="24"/>
                <w:szCs w:val="24"/>
              </w:rPr>
              <w:t>Financial assets/ liabilities</w:t>
            </w:r>
          </w:p>
        </w:tc>
        <w:tc>
          <w:tcPr>
            <w:tcW w:w="4962" w:type="dxa"/>
          </w:tcPr>
          <w:p w:rsidR="001950B9" w:rsidRPr="00F12902" w:rsidRDefault="001950B9" w:rsidP="004924CE">
            <w:pPr>
              <w:tabs>
                <w:tab w:val="left" w:pos="851"/>
              </w:tabs>
              <w:autoSpaceDE w:val="0"/>
              <w:autoSpaceDN w:val="0"/>
              <w:adjustRightInd w:val="0"/>
              <w:rPr>
                <w:rFonts w:ascii="Times New Roman" w:eastAsia="Times New Roman" w:hAnsi="Times New Roman" w:cs="Times New Roman"/>
                <w:sz w:val="24"/>
                <w:szCs w:val="24"/>
              </w:rPr>
            </w:pPr>
            <w:r w:rsidRPr="00F12902">
              <w:rPr>
                <w:rFonts w:ascii="Times New Roman" w:hAnsi="Times New Roman" w:cs="Times New Roman"/>
                <w:sz w:val="24"/>
                <w:szCs w:val="24"/>
              </w:rPr>
              <w:t>Financial assets/ liabilities</w:t>
            </w:r>
          </w:p>
        </w:tc>
      </w:tr>
      <w:tr w:rsidR="001950B9" w:rsidRPr="00247251" w:rsidTr="00F0133A">
        <w:tc>
          <w:tcPr>
            <w:tcW w:w="4785" w:type="dxa"/>
          </w:tcPr>
          <w:p w:rsidR="001950B9" w:rsidRPr="00F12902" w:rsidRDefault="001950B9" w:rsidP="004924CE">
            <w:pPr>
              <w:tabs>
                <w:tab w:val="left" w:pos="851"/>
              </w:tabs>
              <w:autoSpaceDE w:val="0"/>
              <w:autoSpaceDN w:val="0"/>
              <w:adjustRightInd w:val="0"/>
              <w:rPr>
                <w:rFonts w:ascii="Times New Roman" w:hAnsi="Times New Roman" w:cs="Times New Roman"/>
                <w:sz w:val="24"/>
                <w:szCs w:val="24"/>
              </w:rPr>
            </w:pPr>
          </w:p>
        </w:tc>
        <w:tc>
          <w:tcPr>
            <w:tcW w:w="4962" w:type="dxa"/>
          </w:tcPr>
          <w:p w:rsidR="001950B9" w:rsidRPr="00F12902" w:rsidRDefault="001950B9" w:rsidP="004924CE">
            <w:pPr>
              <w:tabs>
                <w:tab w:val="left" w:pos="851"/>
              </w:tabs>
              <w:autoSpaceDE w:val="0"/>
              <w:autoSpaceDN w:val="0"/>
              <w:adjustRightInd w:val="0"/>
              <w:rPr>
                <w:rFonts w:ascii="Times New Roman" w:hAnsi="Times New Roman" w:cs="Times New Roman"/>
                <w:b/>
                <w:i/>
                <w:iCs/>
                <w:sz w:val="16"/>
                <w:szCs w:val="16"/>
              </w:rPr>
            </w:pPr>
          </w:p>
          <w:p w:rsidR="001950B9" w:rsidRPr="00247251" w:rsidRDefault="001950B9" w:rsidP="004924CE">
            <w:pPr>
              <w:tabs>
                <w:tab w:val="left" w:pos="851"/>
              </w:tabs>
              <w:autoSpaceDE w:val="0"/>
              <w:autoSpaceDN w:val="0"/>
              <w:adjustRightInd w:val="0"/>
              <w:rPr>
                <w:rFonts w:ascii="Times New Roman" w:hAnsi="Times New Roman" w:cs="Times New Roman"/>
                <w:b/>
                <w:i/>
                <w:iCs/>
                <w:sz w:val="24"/>
                <w:szCs w:val="24"/>
              </w:rPr>
            </w:pPr>
            <w:r w:rsidRPr="00F12902">
              <w:rPr>
                <w:rFonts w:ascii="Times New Roman" w:hAnsi="Times New Roman" w:cs="Times New Roman"/>
                <w:b/>
                <w:i/>
                <w:iCs/>
                <w:sz w:val="24"/>
                <w:szCs w:val="24"/>
              </w:rPr>
              <w:t>Change in net worth due to real holding gains and losses</w:t>
            </w:r>
          </w:p>
          <w:p w:rsidR="001950B9" w:rsidRPr="00247251" w:rsidRDefault="001950B9" w:rsidP="004924CE">
            <w:pPr>
              <w:tabs>
                <w:tab w:val="left" w:pos="851"/>
              </w:tabs>
              <w:autoSpaceDE w:val="0"/>
              <w:autoSpaceDN w:val="0"/>
              <w:adjustRightInd w:val="0"/>
              <w:rPr>
                <w:rFonts w:ascii="Times New Roman" w:hAnsi="Times New Roman" w:cs="Times New Roman"/>
                <w:sz w:val="16"/>
                <w:szCs w:val="16"/>
              </w:rPr>
            </w:pPr>
          </w:p>
        </w:tc>
      </w:tr>
    </w:tbl>
    <w:p w:rsidR="00087078" w:rsidRPr="00247251" w:rsidRDefault="00087078" w:rsidP="004924CE">
      <w:pPr>
        <w:pStyle w:val="a3"/>
        <w:tabs>
          <w:tab w:val="left" w:pos="851"/>
        </w:tabs>
        <w:ind w:firstLine="0"/>
        <w:jc w:val="center"/>
        <w:rPr>
          <w:color w:val="FF0000"/>
          <w:sz w:val="28"/>
          <w:szCs w:val="28"/>
        </w:rPr>
      </w:pPr>
    </w:p>
    <w:sectPr w:rsidR="00087078" w:rsidRPr="00247251" w:rsidSect="006C4312">
      <w:headerReference w:type="default" r:id="rId9"/>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5F" w:rsidRDefault="003C365F" w:rsidP="002B5087">
      <w:pPr>
        <w:spacing w:after="0" w:line="240" w:lineRule="auto"/>
      </w:pPr>
      <w:r>
        <w:separator/>
      </w:r>
    </w:p>
  </w:endnote>
  <w:endnote w:type="continuationSeparator" w:id="0">
    <w:p w:rsidR="003C365F" w:rsidRDefault="003C365F" w:rsidP="002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5F" w:rsidRDefault="003C365F" w:rsidP="002B5087">
      <w:pPr>
        <w:spacing w:after="0" w:line="240" w:lineRule="auto"/>
      </w:pPr>
      <w:r>
        <w:separator/>
      </w:r>
    </w:p>
  </w:footnote>
  <w:footnote w:type="continuationSeparator" w:id="0">
    <w:p w:rsidR="003C365F" w:rsidRDefault="003C365F" w:rsidP="002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7644"/>
      <w:docPartObj>
        <w:docPartGallery w:val="Page Numbers (Top of Page)"/>
        <w:docPartUnique/>
      </w:docPartObj>
    </w:sdtPr>
    <w:sdtEndPr/>
    <w:sdtContent>
      <w:p w:rsidR="006C4312" w:rsidRDefault="00E42CDA">
        <w:pPr>
          <w:pStyle w:val="af"/>
          <w:jc w:val="center"/>
        </w:pPr>
        <w:r>
          <w:fldChar w:fldCharType="begin"/>
        </w:r>
        <w:r>
          <w:instrText xml:space="preserve"> PAGE   \* MERGEFORMAT </w:instrText>
        </w:r>
        <w:r>
          <w:fldChar w:fldCharType="separate"/>
        </w:r>
        <w:r w:rsidR="0033297E">
          <w:rPr>
            <w:noProof/>
          </w:rPr>
          <w:t>7</w:t>
        </w:r>
        <w:r>
          <w:rPr>
            <w:noProof/>
          </w:rPr>
          <w:fldChar w:fldCharType="end"/>
        </w:r>
      </w:p>
    </w:sdtContent>
  </w:sdt>
  <w:p w:rsidR="00247251" w:rsidRPr="00DD3EA7" w:rsidRDefault="00247251">
    <w:pPr>
      <w:pStyle w:val="af"/>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B19"/>
    <w:multiLevelType w:val="hybridMultilevel"/>
    <w:tmpl w:val="FA285576"/>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7FD2D6B"/>
    <w:multiLevelType w:val="hybridMultilevel"/>
    <w:tmpl w:val="0A886FCC"/>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E76FA"/>
    <w:multiLevelType w:val="hybridMultilevel"/>
    <w:tmpl w:val="D144AE3A"/>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07548F"/>
    <w:multiLevelType w:val="hybridMultilevel"/>
    <w:tmpl w:val="820C7616"/>
    <w:lvl w:ilvl="0" w:tplc="9A88D23C">
      <w:start w:val="1"/>
      <w:numFmt w:val="decimal"/>
      <w:lvlText w:val="%1."/>
      <w:lvlJc w:val="left"/>
      <w:pPr>
        <w:ind w:left="1155"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06B67"/>
    <w:multiLevelType w:val="hybridMultilevel"/>
    <w:tmpl w:val="4B964BB6"/>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AD44FF"/>
    <w:multiLevelType w:val="hybridMultilevel"/>
    <w:tmpl w:val="57664B04"/>
    <w:lvl w:ilvl="0" w:tplc="E0825AA2">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B168D0"/>
    <w:multiLevelType w:val="hybridMultilevel"/>
    <w:tmpl w:val="66DECCC4"/>
    <w:lvl w:ilvl="0" w:tplc="9A88D23C">
      <w:start w:val="1"/>
      <w:numFmt w:val="decimal"/>
      <w:lvlText w:val="%1."/>
      <w:lvlJc w:val="left"/>
      <w:pPr>
        <w:ind w:left="2859" w:hanging="1155"/>
      </w:pPr>
      <w:rPr>
        <w:rFonts w:hint="default"/>
        <w:color w:val="auto"/>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8" w15:restartNumberingAfterBreak="0">
    <w:nsid w:val="1EFC6447"/>
    <w:multiLevelType w:val="hybridMultilevel"/>
    <w:tmpl w:val="9376A27C"/>
    <w:lvl w:ilvl="0" w:tplc="59C8CE62">
      <w:start w:val="1"/>
      <w:numFmt w:val="decimal"/>
      <w:lvlText w:val="%1."/>
      <w:lvlJc w:val="left"/>
      <w:pPr>
        <w:ind w:left="928" w:hanging="360"/>
      </w:pPr>
      <w:rPr>
        <w:rFonts w:ascii="Times New Roman" w:eastAsia="Times New Roman" w:hAnsi="Times New Roman" w:cs="Times New Roman"/>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6885BAB"/>
    <w:multiLevelType w:val="hybridMultilevel"/>
    <w:tmpl w:val="D35E6858"/>
    <w:lvl w:ilvl="0" w:tplc="4F749DE4">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953388"/>
    <w:multiLevelType w:val="hybridMultilevel"/>
    <w:tmpl w:val="4B964BB6"/>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F1733A"/>
    <w:multiLevelType w:val="hybridMultilevel"/>
    <w:tmpl w:val="0A886FCC"/>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1B516F"/>
    <w:multiLevelType w:val="hybridMultilevel"/>
    <w:tmpl w:val="0A886FCC"/>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0011BA"/>
    <w:multiLevelType w:val="hybridMultilevel"/>
    <w:tmpl w:val="1D60592C"/>
    <w:lvl w:ilvl="0" w:tplc="ED183936">
      <w:start w:val="23"/>
      <w:numFmt w:val="decimal"/>
      <w:lvlText w:val="%1."/>
      <w:lvlJc w:val="left"/>
      <w:pPr>
        <w:ind w:left="2239" w:hanging="375"/>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4" w15:restartNumberingAfterBreak="0">
    <w:nsid w:val="373C2F9F"/>
    <w:multiLevelType w:val="hybridMultilevel"/>
    <w:tmpl w:val="514E732C"/>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5" w15:restartNumberingAfterBreak="0">
    <w:nsid w:val="3AB31FFB"/>
    <w:multiLevelType w:val="hybridMultilevel"/>
    <w:tmpl w:val="FCCCE66A"/>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532B87"/>
    <w:multiLevelType w:val="hybridMultilevel"/>
    <w:tmpl w:val="48847C78"/>
    <w:lvl w:ilvl="0" w:tplc="6BE463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42255A6"/>
    <w:multiLevelType w:val="hybridMultilevel"/>
    <w:tmpl w:val="0A886FCC"/>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8F0417"/>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35803E6"/>
    <w:multiLevelType w:val="hybridMultilevel"/>
    <w:tmpl w:val="48847C78"/>
    <w:lvl w:ilvl="0" w:tplc="6BE463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BF0183A"/>
    <w:multiLevelType w:val="hybridMultilevel"/>
    <w:tmpl w:val="9D7E786E"/>
    <w:lvl w:ilvl="0" w:tplc="9A88D23C">
      <w:start w:val="1"/>
      <w:numFmt w:val="decimal"/>
      <w:lvlText w:val="%1."/>
      <w:lvlJc w:val="left"/>
      <w:pPr>
        <w:ind w:left="1864"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EF2F6E"/>
    <w:multiLevelType w:val="hybridMultilevel"/>
    <w:tmpl w:val="1B0C2282"/>
    <w:lvl w:ilvl="0" w:tplc="AB209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35FD8"/>
    <w:multiLevelType w:val="hybridMultilevel"/>
    <w:tmpl w:val="0A886FCC"/>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E861C1"/>
    <w:multiLevelType w:val="hybridMultilevel"/>
    <w:tmpl w:val="30EC452E"/>
    <w:lvl w:ilvl="0" w:tplc="9A88D23C">
      <w:start w:val="1"/>
      <w:numFmt w:val="decimal"/>
      <w:lvlText w:val="%1."/>
      <w:lvlJc w:val="left"/>
      <w:pPr>
        <w:ind w:left="1723" w:hanging="1155"/>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98A6FC2"/>
    <w:multiLevelType w:val="hybridMultilevel"/>
    <w:tmpl w:val="0A886FCC"/>
    <w:lvl w:ilvl="0" w:tplc="9A88D23C">
      <w:start w:val="1"/>
      <w:numFmt w:val="decimal"/>
      <w:lvlText w:val="%1."/>
      <w:lvlJc w:val="left"/>
      <w:pPr>
        <w:ind w:left="2007"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
  </w:num>
  <w:num w:numId="3">
    <w:abstractNumId w:val="18"/>
  </w:num>
  <w:num w:numId="4">
    <w:abstractNumId w:val="6"/>
  </w:num>
  <w:num w:numId="5">
    <w:abstractNumId w:val="20"/>
  </w:num>
  <w:num w:numId="6">
    <w:abstractNumId w:val="13"/>
  </w:num>
  <w:num w:numId="7">
    <w:abstractNumId w:val="4"/>
  </w:num>
  <w:num w:numId="8">
    <w:abstractNumId w:val="19"/>
  </w:num>
  <w:num w:numId="9">
    <w:abstractNumId w:val="14"/>
  </w:num>
  <w:num w:numId="10">
    <w:abstractNumId w:val="15"/>
  </w:num>
  <w:num w:numId="11">
    <w:abstractNumId w:val="24"/>
  </w:num>
  <w:num w:numId="12">
    <w:abstractNumId w:val="11"/>
  </w:num>
  <w:num w:numId="13">
    <w:abstractNumId w:val="17"/>
  </w:num>
  <w:num w:numId="14">
    <w:abstractNumId w:val="2"/>
  </w:num>
  <w:num w:numId="15">
    <w:abstractNumId w:val="12"/>
  </w:num>
  <w:num w:numId="16">
    <w:abstractNumId w:val="10"/>
  </w:num>
  <w:num w:numId="17">
    <w:abstractNumId w:val="9"/>
  </w:num>
  <w:num w:numId="18">
    <w:abstractNumId w:val="8"/>
  </w:num>
  <w:num w:numId="19">
    <w:abstractNumId w:val="22"/>
  </w:num>
  <w:num w:numId="20">
    <w:abstractNumId w:val="5"/>
  </w:num>
  <w:num w:numId="21">
    <w:abstractNumId w:val="3"/>
  </w:num>
  <w:num w:numId="22">
    <w:abstractNumId w:val="0"/>
  </w:num>
  <w:num w:numId="23">
    <w:abstractNumId w:val="7"/>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0D40"/>
    <w:rsid w:val="00010183"/>
    <w:rsid w:val="00011909"/>
    <w:rsid w:val="00015961"/>
    <w:rsid w:val="00017F51"/>
    <w:rsid w:val="00021091"/>
    <w:rsid w:val="00031420"/>
    <w:rsid w:val="00032E36"/>
    <w:rsid w:val="000471AA"/>
    <w:rsid w:val="00050A1A"/>
    <w:rsid w:val="00050A53"/>
    <w:rsid w:val="00051192"/>
    <w:rsid w:val="0005437C"/>
    <w:rsid w:val="00055548"/>
    <w:rsid w:val="000660EB"/>
    <w:rsid w:val="0006697F"/>
    <w:rsid w:val="00072497"/>
    <w:rsid w:val="00074AF9"/>
    <w:rsid w:val="000770A8"/>
    <w:rsid w:val="00077CA3"/>
    <w:rsid w:val="00083E16"/>
    <w:rsid w:val="00086721"/>
    <w:rsid w:val="00087078"/>
    <w:rsid w:val="00097446"/>
    <w:rsid w:val="000A2D26"/>
    <w:rsid w:val="000A76B2"/>
    <w:rsid w:val="000B061D"/>
    <w:rsid w:val="000B19F3"/>
    <w:rsid w:val="000B5DE5"/>
    <w:rsid w:val="000C70AC"/>
    <w:rsid w:val="000D41F9"/>
    <w:rsid w:val="000D4DB1"/>
    <w:rsid w:val="000D52FE"/>
    <w:rsid w:val="000E5EE3"/>
    <w:rsid w:val="001071AD"/>
    <w:rsid w:val="00114340"/>
    <w:rsid w:val="00115289"/>
    <w:rsid w:val="00130C0B"/>
    <w:rsid w:val="00131FC5"/>
    <w:rsid w:val="001323D6"/>
    <w:rsid w:val="00141BD8"/>
    <w:rsid w:val="001434DA"/>
    <w:rsid w:val="00150FD5"/>
    <w:rsid w:val="00160998"/>
    <w:rsid w:val="00163866"/>
    <w:rsid w:val="00172D86"/>
    <w:rsid w:val="0017520F"/>
    <w:rsid w:val="00180FCC"/>
    <w:rsid w:val="00185EAA"/>
    <w:rsid w:val="001950B9"/>
    <w:rsid w:val="0019600E"/>
    <w:rsid w:val="001A071C"/>
    <w:rsid w:val="001A0ADD"/>
    <w:rsid w:val="001A2932"/>
    <w:rsid w:val="001A5C86"/>
    <w:rsid w:val="001B1F3C"/>
    <w:rsid w:val="001B59B6"/>
    <w:rsid w:val="001B6BDF"/>
    <w:rsid w:val="001D5D4C"/>
    <w:rsid w:val="001E08FF"/>
    <w:rsid w:val="001E4D50"/>
    <w:rsid w:val="001E57BF"/>
    <w:rsid w:val="001E7411"/>
    <w:rsid w:val="001F76A8"/>
    <w:rsid w:val="00202CAB"/>
    <w:rsid w:val="00220403"/>
    <w:rsid w:val="0022126C"/>
    <w:rsid w:val="00224A78"/>
    <w:rsid w:val="00227538"/>
    <w:rsid w:val="002278D9"/>
    <w:rsid w:val="00234D1F"/>
    <w:rsid w:val="00247251"/>
    <w:rsid w:val="00261278"/>
    <w:rsid w:val="00266F00"/>
    <w:rsid w:val="002715E0"/>
    <w:rsid w:val="00276F26"/>
    <w:rsid w:val="002828D5"/>
    <w:rsid w:val="00282CA3"/>
    <w:rsid w:val="00282FFB"/>
    <w:rsid w:val="002863E4"/>
    <w:rsid w:val="002905C3"/>
    <w:rsid w:val="00291B7C"/>
    <w:rsid w:val="00292275"/>
    <w:rsid w:val="002932F7"/>
    <w:rsid w:val="00294D85"/>
    <w:rsid w:val="00297A0B"/>
    <w:rsid w:val="002A5483"/>
    <w:rsid w:val="002A7F6F"/>
    <w:rsid w:val="002B5087"/>
    <w:rsid w:val="002B774F"/>
    <w:rsid w:val="002D6749"/>
    <w:rsid w:val="002E7F27"/>
    <w:rsid w:val="002F14AF"/>
    <w:rsid w:val="002F3AE3"/>
    <w:rsid w:val="002F3BD0"/>
    <w:rsid w:val="0030455B"/>
    <w:rsid w:val="00310D7C"/>
    <w:rsid w:val="0031405F"/>
    <w:rsid w:val="00314122"/>
    <w:rsid w:val="00314CE4"/>
    <w:rsid w:val="0032001B"/>
    <w:rsid w:val="00321913"/>
    <w:rsid w:val="0032525D"/>
    <w:rsid w:val="00325CDB"/>
    <w:rsid w:val="0033137B"/>
    <w:rsid w:val="0033297E"/>
    <w:rsid w:val="0033494D"/>
    <w:rsid w:val="00336877"/>
    <w:rsid w:val="00357336"/>
    <w:rsid w:val="00366F8A"/>
    <w:rsid w:val="00367496"/>
    <w:rsid w:val="003754E1"/>
    <w:rsid w:val="003763AB"/>
    <w:rsid w:val="00376493"/>
    <w:rsid w:val="003824B5"/>
    <w:rsid w:val="00386AA1"/>
    <w:rsid w:val="00390310"/>
    <w:rsid w:val="0039333C"/>
    <w:rsid w:val="00397895"/>
    <w:rsid w:val="003A294B"/>
    <w:rsid w:val="003B421F"/>
    <w:rsid w:val="003B5C87"/>
    <w:rsid w:val="003C365F"/>
    <w:rsid w:val="003C4AD3"/>
    <w:rsid w:val="003C654E"/>
    <w:rsid w:val="003C77EC"/>
    <w:rsid w:val="003D398A"/>
    <w:rsid w:val="003E4828"/>
    <w:rsid w:val="003F24D2"/>
    <w:rsid w:val="00404832"/>
    <w:rsid w:val="00412437"/>
    <w:rsid w:val="00413762"/>
    <w:rsid w:val="004173EB"/>
    <w:rsid w:val="004205A5"/>
    <w:rsid w:val="00421548"/>
    <w:rsid w:val="0042293E"/>
    <w:rsid w:val="004275CB"/>
    <w:rsid w:val="00431FBF"/>
    <w:rsid w:val="00441F03"/>
    <w:rsid w:val="00446A30"/>
    <w:rsid w:val="00451AFE"/>
    <w:rsid w:val="00453304"/>
    <w:rsid w:val="00460524"/>
    <w:rsid w:val="00462785"/>
    <w:rsid w:val="004700E2"/>
    <w:rsid w:val="004752C5"/>
    <w:rsid w:val="004916C7"/>
    <w:rsid w:val="004923C9"/>
    <w:rsid w:val="004924CE"/>
    <w:rsid w:val="00492BEC"/>
    <w:rsid w:val="00497B27"/>
    <w:rsid w:val="004A65E5"/>
    <w:rsid w:val="004B1FA3"/>
    <w:rsid w:val="004B6808"/>
    <w:rsid w:val="004C1414"/>
    <w:rsid w:val="004C669B"/>
    <w:rsid w:val="004D40C1"/>
    <w:rsid w:val="004D5639"/>
    <w:rsid w:val="004D7CDF"/>
    <w:rsid w:val="004E3B37"/>
    <w:rsid w:val="004E4768"/>
    <w:rsid w:val="004F335D"/>
    <w:rsid w:val="004F3D82"/>
    <w:rsid w:val="004F5DFB"/>
    <w:rsid w:val="004F7756"/>
    <w:rsid w:val="004F7949"/>
    <w:rsid w:val="0050047A"/>
    <w:rsid w:val="00512685"/>
    <w:rsid w:val="00512F35"/>
    <w:rsid w:val="00516043"/>
    <w:rsid w:val="0052060F"/>
    <w:rsid w:val="00521073"/>
    <w:rsid w:val="005226F5"/>
    <w:rsid w:val="005236EC"/>
    <w:rsid w:val="00542BFC"/>
    <w:rsid w:val="00547C4B"/>
    <w:rsid w:val="00555552"/>
    <w:rsid w:val="00561064"/>
    <w:rsid w:val="00561481"/>
    <w:rsid w:val="00561B2C"/>
    <w:rsid w:val="00562E51"/>
    <w:rsid w:val="005667F5"/>
    <w:rsid w:val="00570499"/>
    <w:rsid w:val="00571D66"/>
    <w:rsid w:val="00574E78"/>
    <w:rsid w:val="005827DC"/>
    <w:rsid w:val="0058642D"/>
    <w:rsid w:val="00590EB6"/>
    <w:rsid w:val="00590EED"/>
    <w:rsid w:val="00592288"/>
    <w:rsid w:val="00594DC2"/>
    <w:rsid w:val="0059715E"/>
    <w:rsid w:val="005A418A"/>
    <w:rsid w:val="005B36B3"/>
    <w:rsid w:val="005B3B6A"/>
    <w:rsid w:val="005B5234"/>
    <w:rsid w:val="005B61E3"/>
    <w:rsid w:val="005C4EF6"/>
    <w:rsid w:val="005C6D07"/>
    <w:rsid w:val="005D0658"/>
    <w:rsid w:val="005D45C8"/>
    <w:rsid w:val="005F02A3"/>
    <w:rsid w:val="005F04F9"/>
    <w:rsid w:val="00601323"/>
    <w:rsid w:val="00607439"/>
    <w:rsid w:val="0061186A"/>
    <w:rsid w:val="006120A7"/>
    <w:rsid w:val="006123D7"/>
    <w:rsid w:val="006237CA"/>
    <w:rsid w:val="00624C31"/>
    <w:rsid w:val="0063228F"/>
    <w:rsid w:val="00633A85"/>
    <w:rsid w:val="00642DC4"/>
    <w:rsid w:val="0065006B"/>
    <w:rsid w:val="00650276"/>
    <w:rsid w:val="0065157E"/>
    <w:rsid w:val="006528FE"/>
    <w:rsid w:val="00654996"/>
    <w:rsid w:val="006639CD"/>
    <w:rsid w:val="00667CC7"/>
    <w:rsid w:val="00670344"/>
    <w:rsid w:val="00671AAB"/>
    <w:rsid w:val="00691DCD"/>
    <w:rsid w:val="006A2DB6"/>
    <w:rsid w:val="006A48DD"/>
    <w:rsid w:val="006A5B60"/>
    <w:rsid w:val="006B02B8"/>
    <w:rsid w:val="006C4312"/>
    <w:rsid w:val="006C7C0E"/>
    <w:rsid w:val="006D0565"/>
    <w:rsid w:val="006D11E2"/>
    <w:rsid w:val="006F1225"/>
    <w:rsid w:val="006F294E"/>
    <w:rsid w:val="006F5730"/>
    <w:rsid w:val="006F7102"/>
    <w:rsid w:val="00703FFD"/>
    <w:rsid w:val="007134EC"/>
    <w:rsid w:val="0071363D"/>
    <w:rsid w:val="00722BFC"/>
    <w:rsid w:val="00733B18"/>
    <w:rsid w:val="00735D00"/>
    <w:rsid w:val="007369AB"/>
    <w:rsid w:val="00742CDB"/>
    <w:rsid w:val="00743BC3"/>
    <w:rsid w:val="00747F58"/>
    <w:rsid w:val="00752246"/>
    <w:rsid w:val="00752D86"/>
    <w:rsid w:val="007558F5"/>
    <w:rsid w:val="007610F6"/>
    <w:rsid w:val="007672FB"/>
    <w:rsid w:val="007815DB"/>
    <w:rsid w:val="007817D0"/>
    <w:rsid w:val="007A03F5"/>
    <w:rsid w:val="007B5B88"/>
    <w:rsid w:val="007C0EAE"/>
    <w:rsid w:val="007C7290"/>
    <w:rsid w:val="007C754A"/>
    <w:rsid w:val="007E3F69"/>
    <w:rsid w:val="007E3F7D"/>
    <w:rsid w:val="007F11EC"/>
    <w:rsid w:val="0080002E"/>
    <w:rsid w:val="008021FC"/>
    <w:rsid w:val="008100D9"/>
    <w:rsid w:val="00811A3C"/>
    <w:rsid w:val="00811CCD"/>
    <w:rsid w:val="00812033"/>
    <w:rsid w:val="0081511F"/>
    <w:rsid w:val="008165DB"/>
    <w:rsid w:val="00816F88"/>
    <w:rsid w:val="0081735A"/>
    <w:rsid w:val="00824092"/>
    <w:rsid w:val="00841124"/>
    <w:rsid w:val="00842A96"/>
    <w:rsid w:val="00854D05"/>
    <w:rsid w:val="008564B8"/>
    <w:rsid w:val="0086223E"/>
    <w:rsid w:val="008638D5"/>
    <w:rsid w:val="008666FF"/>
    <w:rsid w:val="00897903"/>
    <w:rsid w:val="008B3BBE"/>
    <w:rsid w:val="008B3E71"/>
    <w:rsid w:val="008B4480"/>
    <w:rsid w:val="008C2F12"/>
    <w:rsid w:val="008C4017"/>
    <w:rsid w:val="008D2994"/>
    <w:rsid w:val="008D6476"/>
    <w:rsid w:val="008D69FC"/>
    <w:rsid w:val="008D7D37"/>
    <w:rsid w:val="008E0BF6"/>
    <w:rsid w:val="008E5670"/>
    <w:rsid w:val="008F6DEC"/>
    <w:rsid w:val="009104BF"/>
    <w:rsid w:val="00915800"/>
    <w:rsid w:val="00916137"/>
    <w:rsid w:val="00920C91"/>
    <w:rsid w:val="00921C26"/>
    <w:rsid w:val="00922095"/>
    <w:rsid w:val="009271E4"/>
    <w:rsid w:val="0092727A"/>
    <w:rsid w:val="00933CC2"/>
    <w:rsid w:val="00942FD8"/>
    <w:rsid w:val="009458FC"/>
    <w:rsid w:val="00947032"/>
    <w:rsid w:val="00950F1D"/>
    <w:rsid w:val="009578DE"/>
    <w:rsid w:val="009625A2"/>
    <w:rsid w:val="00966C36"/>
    <w:rsid w:val="009672BA"/>
    <w:rsid w:val="009712CB"/>
    <w:rsid w:val="009749BC"/>
    <w:rsid w:val="0098286C"/>
    <w:rsid w:val="009853BE"/>
    <w:rsid w:val="00990DE4"/>
    <w:rsid w:val="00991869"/>
    <w:rsid w:val="00993F7D"/>
    <w:rsid w:val="009A4A10"/>
    <w:rsid w:val="009C180A"/>
    <w:rsid w:val="009C1ADC"/>
    <w:rsid w:val="009C28EE"/>
    <w:rsid w:val="009C4AF5"/>
    <w:rsid w:val="009E11B7"/>
    <w:rsid w:val="009E22E2"/>
    <w:rsid w:val="009E2C48"/>
    <w:rsid w:val="009F027D"/>
    <w:rsid w:val="009F266E"/>
    <w:rsid w:val="009F4B68"/>
    <w:rsid w:val="00A00161"/>
    <w:rsid w:val="00A022C4"/>
    <w:rsid w:val="00A1001F"/>
    <w:rsid w:val="00A108AD"/>
    <w:rsid w:val="00A10C2D"/>
    <w:rsid w:val="00A10EB6"/>
    <w:rsid w:val="00A111B0"/>
    <w:rsid w:val="00A41B64"/>
    <w:rsid w:val="00A43465"/>
    <w:rsid w:val="00A45CBD"/>
    <w:rsid w:val="00A46FF2"/>
    <w:rsid w:val="00A60257"/>
    <w:rsid w:val="00A70C88"/>
    <w:rsid w:val="00A72254"/>
    <w:rsid w:val="00A74C4F"/>
    <w:rsid w:val="00A90C4D"/>
    <w:rsid w:val="00A917A3"/>
    <w:rsid w:val="00A91DFC"/>
    <w:rsid w:val="00A95E75"/>
    <w:rsid w:val="00A95F0B"/>
    <w:rsid w:val="00A97E92"/>
    <w:rsid w:val="00AA0B19"/>
    <w:rsid w:val="00AA0B3B"/>
    <w:rsid w:val="00AA0BEE"/>
    <w:rsid w:val="00AA30E2"/>
    <w:rsid w:val="00AA4C41"/>
    <w:rsid w:val="00AB644B"/>
    <w:rsid w:val="00AB71DD"/>
    <w:rsid w:val="00AC36ED"/>
    <w:rsid w:val="00AE03FB"/>
    <w:rsid w:val="00AE0E0E"/>
    <w:rsid w:val="00AE1A04"/>
    <w:rsid w:val="00AE2F1C"/>
    <w:rsid w:val="00AF353E"/>
    <w:rsid w:val="00AF4EA1"/>
    <w:rsid w:val="00AF773E"/>
    <w:rsid w:val="00B0535B"/>
    <w:rsid w:val="00B15E11"/>
    <w:rsid w:val="00B17B26"/>
    <w:rsid w:val="00B22686"/>
    <w:rsid w:val="00B22855"/>
    <w:rsid w:val="00B22B02"/>
    <w:rsid w:val="00B31A54"/>
    <w:rsid w:val="00B34718"/>
    <w:rsid w:val="00B35ABF"/>
    <w:rsid w:val="00B50D56"/>
    <w:rsid w:val="00B530F9"/>
    <w:rsid w:val="00B6117E"/>
    <w:rsid w:val="00B61E91"/>
    <w:rsid w:val="00B628D7"/>
    <w:rsid w:val="00B650CD"/>
    <w:rsid w:val="00B70228"/>
    <w:rsid w:val="00B72DE5"/>
    <w:rsid w:val="00B7589C"/>
    <w:rsid w:val="00B851A8"/>
    <w:rsid w:val="00B868DF"/>
    <w:rsid w:val="00B96BD0"/>
    <w:rsid w:val="00B96DCF"/>
    <w:rsid w:val="00BB0D40"/>
    <w:rsid w:val="00BB16CB"/>
    <w:rsid w:val="00BB7207"/>
    <w:rsid w:val="00BC2990"/>
    <w:rsid w:val="00BC4BCD"/>
    <w:rsid w:val="00BC65EB"/>
    <w:rsid w:val="00BD03BB"/>
    <w:rsid w:val="00BD09AF"/>
    <w:rsid w:val="00BE1A25"/>
    <w:rsid w:val="00BF4A8C"/>
    <w:rsid w:val="00C05716"/>
    <w:rsid w:val="00C16237"/>
    <w:rsid w:val="00C509A7"/>
    <w:rsid w:val="00C57469"/>
    <w:rsid w:val="00C60236"/>
    <w:rsid w:val="00C80387"/>
    <w:rsid w:val="00C961A6"/>
    <w:rsid w:val="00C97DD2"/>
    <w:rsid w:val="00CA1AB5"/>
    <w:rsid w:val="00CA609F"/>
    <w:rsid w:val="00CB0E65"/>
    <w:rsid w:val="00CB3427"/>
    <w:rsid w:val="00CB375F"/>
    <w:rsid w:val="00CC2CE4"/>
    <w:rsid w:val="00CC7515"/>
    <w:rsid w:val="00CD6565"/>
    <w:rsid w:val="00CE1CAE"/>
    <w:rsid w:val="00CE373B"/>
    <w:rsid w:val="00CF2792"/>
    <w:rsid w:val="00CF5F87"/>
    <w:rsid w:val="00D01761"/>
    <w:rsid w:val="00D03D31"/>
    <w:rsid w:val="00D25F78"/>
    <w:rsid w:val="00D34537"/>
    <w:rsid w:val="00D40E86"/>
    <w:rsid w:val="00D64656"/>
    <w:rsid w:val="00D65386"/>
    <w:rsid w:val="00D67D76"/>
    <w:rsid w:val="00D763B9"/>
    <w:rsid w:val="00D8062B"/>
    <w:rsid w:val="00D83E0F"/>
    <w:rsid w:val="00D94583"/>
    <w:rsid w:val="00D9732F"/>
    <w:rsid w:val="00D9751D"/>
    <w:rsid w:val="00DA17ED"/>
    <w:rsid w:val="00DB2856"/>
    <w:rsid w:val="00DB5ACF"/>
    <w:rsid w:val="00DB740C"/>
    <w:rsid w:val="00DD211A"/>
    <w:rsid w:val="00DD3EA7"/>
    <w:rsid w:val="00DE2DFA"/>
    <w:rsid w:val="00DE741C"/>
    <w:rsid w:val="00DE7923"/>
    <w:rsid w:val="00DF2539"/>
    <w:rsid w:val="00DF26D0"/>
    <w:rsid w:val="00DF6CD8"/>
    <w:rsid w:val="00E00067"/>
    <w:rsid w:val="00E0116D"/>
    <w:rsid w:val="00E01C0F"/>
    <w:rsid w:val="00E10B7E"/>
    <w:rsid w:val="00E12F47"/>
    <w:rsid w:val="00E149B0"/>
    <w:rsid w:val="00E2257B"/>
    <w:rsid w:val="00E330ED"/>
    <w:rsid w:val="00E34EA4"/>
    <w:rsid w:val="00E36EDF"/>
    <w:rsid w:val="00E42394"/>
    <w:rsid w:val="00E42CDA"/>
    <w:rsid w:val="00E46BAA"/>
    <w:rsid w:val="00E51BAB"/>
    <w:rsid w:val="00E55C25"/>
    <w:rsid w:val="00E60B4B"/>
    <w:rsid w:val="00E65A29"/>
    <w:rsid w:val="00E679A2"/>
    <w:rsid w:val="00E73D75"/>
    <w:rsid w:val="00E8285B"/>
    <w:rsid w:val="00E82D9C"/>
    <w:rsid w:val="00E85DD0"/>
    <w:rsid w:val="00E87E0E"/>
    <w:rsid w:val="00E92AD8"/>
    <w:rsid w:val="00E94AAB"/>
    <w:rsid w:val="00EB3AD4"/>
    <w:rsid w:val="00EC346A"/>
    <w:rsid w:val="00EC3F6D"/>
    <w:rsid w:val="00EC5C20"/>
    <w:rsid w:val="00EC5D09"/>
    <w:rsid w:val="00EC5D8E"/>
    <w:rsid w:val="00EC6391"/>
    <w:rsid w:val="00EC76EC"/>
    <w:rsid w:val="00ED2C7F"/>
    <w:rsid w:val="00ED66DC"/>
    <w:rsid w:val="00EE79AB"/>
    <w:rsid w:val="00EF7D85"/>
    <w:rsid w:val="00F0054B"/>
    <w:rsid w:val="00F0133A"/>
    <w:rsid w:val="00F02651"/>
    <w:rsid w:val="00F03794"/>
    <w:rsid w:val="00F12902"/>
    <w:rsid w:val="00F13944"/>
    <w:rsid w:val="00F15E97"/>
    <w:rsid w:val="00F24139"/>
    <w:rsid w:val="00F26CD2"/>
    <w:rsid w:val="00F27D46"/>
    <w:rsid w:val="00F31071"/>
    <w:rsid w:val="00F316C7"/>
    <w:rsid w:val="00F47E49"/>
    <w:rsid w:val="00F51D91"/>
    <w:rsid w:val="00F53E96"/>
    <w:rsid w:val="00F56914"/>
    <w:rsid w:val="00F67C9F"/>
    <w:rsid w:val="00F75719"/>
    <w:rsid w:val="00F76E23"/>
    <w:rsid w:val="00F91474"/>
    <w:rsid w:val="00F91F4E"/>
    <w:rsid w:val="00FA28D1"/>
    <w:rsid w:val="00FB0FE8"/>
    <w:rsid w:val="00FD067D"/>
    <w:rsid w:val="00FD4469"/>
    <w:rsid w:val="00FD4F09"/>
    <w:rsid w:val="00FE03DC"/>
    <w:rsid w:val="00FE6D2E"/>
    <w:rsid w:val="00FF00F5"/>
    <w:rsid w:val="00FF348F"/>
    <w:rsid w:val="00FF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39D8"/>
  <w15:docId w15:val="{4EA5CF70-F403-44D5-9C90-0D6D4F3F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4B"/>
  </w:style>
  <w:style w:type="paragraph" w:styleId="3">
    <w:name w:val="heading 3"/>
    <w:basedOn w:val="a"/>
    <w:next w:val="a"/>
    <w:link w:val="30"/>
    <w:uiPriority w:val="9"/>
    <w:qFormat/>
    <w:rsid w:val="005D065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0658"/>
    <w:rPr>
      <w:rFonts w:ascii="Cambria" w:eastAsia="Times New Roman" w:hAnsi="Cambria" w:cs="Times New Roman"/>
      <w:b/>
      <w:bCs/>
      <w:sz w:val="26"/>
      <w:szCs w:val="26"/>
    </w:rPr>
  </w:style>
  <w:style w:type="paragraph" w:customStyle="1" w:styleId="a3">
    <w:name w:val="ОснТекст"/>
    <w:link w:val="a4"/>
    <w:rsid w:val="005D0658"/>
    <w:pPr>
      <w:spacing w:after="0" w:line="240" w:lineRule="auto"/>
      <w:ind w:firstLine="709"/>
      <w:jc w:val="both"/>
    </w:pPr>
    <w:rPr>
      <w:rFonts w:ascii="Times New Roman" w:eastAsia="Times New Roman" w:hAnsi="Times New Roman" w:cs="Times New Roman"/>
      <w:sz w:val="20"/>
      <w:szCs w:val="20"/>
    </w:rPr>
  </w:style>
  <w:style w:type="character" w:customStyle="1" w:styleId="a4">
    <w:name w:val="ОснТекст Знак"/>
    <w:basedOn w:val="a0"/>
    <w:link w:val="a3"/>
    <w:rsid w:val="005D0658"/>
    <w:rPr>
      <w:rFonts w:ascii="Times New Roman" w:eastAsia="Times New Roman" w:hAnsi="Times New Roman" w:cs="Times New Roman"/>
      <w:sz w:val="20"/>
      <w:szCs w:val="20"/>
    </w:rPr>
  </w:style>
  <w:style w:type="paragraph" w:styleId="a5">
    <w:name w:val="Body Text Indent"/>
    <w:basedOn w:val="a"/>
    <w:link w:val="a6"/>
    <w:rsid w:val="005D0658"/>
    <w:pPr>
      <w:spacing w:after="0" w:line="240" w:lineRule="auto"/>
      <w:ind w:firstLine="851"/>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D0658"/>
    <w:rPr>
      <w:rFonts w:ascii="Times New Roman" w:eastAsia="Times New Roman" w:hAnsi="Times New Roman" w:cs="Times New Roman"/>
      <w:sz w:val="28"/>
      <w:szCs w:val="20"/>
    </w:rPr>
  </w:style>
  <w:style w:type="paragraph" w:styleId="a7">
    <w:name w:val="Body Text"/>
    <w:basedOn w:val="a"/>
    <w:link w:val="a8"/>
    <w:rsid w:val="005D065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5D0658"/>
    <w:rPr>
      <w:rFonts w:ascii="Times New Roman" w:eastAsia="Times New Roman" w:hAnsi="Times New Roman" w:cs="Times New Roman"/>
      <w:sz w:val="24"/>
      <w:szCs w:val="24"/>
    </w:rPr>
  </w:style>
  <w:style w:type="table" w:styleId="a9">
    <w:name w:val="Table Grid"/>
    <w:basedOn w:val="a1"/>
    <w:uiPriority w:val="59"/>
    <w:rsid w:val="00816F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link w:val="ab"/>
    <w:uiPriority w:val="34"/>
    <w:qFormat/>
    <w:rsid w:val="00B868DF"/>
    <w:pPr>
      <w:ind w:left="720"/>
      <w:contextualSpacing/>
    </w:pPr>
  </w:style>
  <w:style w:type="character" w:styleId="ac">
    <w:name w:val="Placeholder Text"/>
    <w:basedOn w:val="a0"/>
    <w:uiPriority w:val="99"/>
    <w:semiHidden/>
    <w:rsid w:val="00F53E96"/>
    <w:rPr>
      <w:color w:val="808080"/>
    </w:rPr>
  </w:style>
  <w:style w:type="paragraph" w:styleId="ad">
    <w:name w:val="Balloon Text"/>
    <w:basedOn w:val="a"/>
    <w:link w:val="ae"/>
    <w:uiPriority w:val="99"/>
    <w:semiHidden/>
    <w:unhideWhenUsed/>
    <w:rsid w:val="00D03D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3D31"/>
    <w:rPr>
      <w:rFonts w:ascii="Tahoma" w:hAnsi="Tahoma" w:cs="Tahoma"/>
      <w:sz w:val="16"/>
      <w:szCs w:val="16"/>
    </w:rPr>
  </w:style>
  <w:style w:type="paragraph" w:styleId="af">
    <w:name w:val="header"/>
    <w:basedOn w:val="a"/>
    <w:link w:val="af0"/>
    <w:uiPriority w:val="99"/>
    <w:unhideWhenUsed/>
    <w:rsid w:val="002B50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5087"/>
  </w:style>
  <w:style w:type="paragraph" w:styleId="af1">
    <w:name w:val="footer"/>
    <w:basedOn w:val="a"/>
    <w:link w:val="af2"/>
    <w:uiPriority w:val="99"/>
    <w:semiHidden/>
    <w:unhideWhenUsed/>
    <w:rsid w:val="002B508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5087"/>
  </w:style>
  <w:style w:type="paragraph" w:customStyle="1" w:styleId="2">
    <w:name w:val="Основной текст2"/>
    <w:basedOn w:val="a"/>
    <w:link w:val="af3"/>
    <w:uiPriority w:val="99"/>
    <w:rsid w:val="001950B9"/>
    <w:pPr>
      <w:widowControl w:val="0"/>
      <w:shd w:val="clear" w:color="auto" w:fill="FFFFFF"/>
      <w:spacing w:before="360" w:after="0" w:line="317" w:lineRule="exact"/>
      <w:ind w:hanging="260"/>
      <w:jc w:val="center"/>
    </w:pPr>
    <w:rPr>
      <w:rFonts w:ascii="Times New Roman" w:eastAsia="Times New Roman" w:hAnsi="Times New Roman" w:cs="Times New Roman"/>
      <w:sz w:val="26"/>
      <w:szCs w:val="20"/>
    </w:rPr>
  </w:style>
  <w:style w:type="paragraph" w:styleId="af4">
    <w:name w:val="No Spacing"/>
    <w:uiPriority w:val="1"/>
    <w:qFormat/>
    <w:rsid w:val="007C7290"/>
    <w:pPr>
      <w:spacing w:after="0" w:line="240" w:lineRule="auto"/>
    </w:pPr>
  </w:style>
  <w:style w:type="character" w:customStyle="1" w:styleId="af3">
    <w:name w:val="Основной текст_"/>
    <w:link w:val="2"/>
    <w:uiPriority w:val="99"/>
    <w:locked/>
    <w:rsid w:val="00DF2539"/>
    <w:rPr>
      <w:rFonts w:ascii="Times New Roman" w:eastAsia="Times New Roman" w:hAnsi="Times New Roman" w:cs="Times New Roman"/>
      <w:sz w:val="26"/>
      <w:szCs w:val="20"/>
      <w:shd w:val="clear" w:color="auto" w:fill="FFFFFF"/>
    </w:rPr>
  </w:style>
  <w:style w:type="character" w:styleId="af5">
    <w:name w:val="Hyperlink"/>
    <w:basedOn w:val="a0"/>
    <w:uiPriority w:val="99"/>
    <w:unhideWhenUsed/>
    <w:rsid w:val="006F5730"/>
    <w:rPr>
      <w:color w:val="0000FF" w:themeColor="hyperlink"/>
      <w:u w:val="single"/>
    </w:rPr>
  </w:style>
  <w:style w:type="character" w:styleId="af6">
    <w:name w:val="Emphasis"/>
    <w:aliases w:val="Podnadpis,Subtitle"/>
    <w:basedOn w:val="a0"/>
    <w:qFormat/>
    <w:rsid w:val="00A10EB6"/>
    <w:rPr>
      <w:b/>
      <w:i/>
      <w:iCs/>
    </w:rPr>
  </w:style>
  <w:style w:type="character" w:customStyle="1" w:styleId="ab">
    <w:name w:val="Абзац списка Знак"/>
    <w:basedOn w:val="a0"/>
    <w:link w:val="aa"/>
    <w:uiPriority w:val="34"/>
    <w:rsid w:val="000B19F3"/>
  </w:style>
  <w:style w:type="paragraph" w:customStyle="1" w:styleId="First">
    <w:name w:val="FirstОснТекст"/>
    <w:basedOn w:val="a3"/>
    <w:next w:val="a3"/>
    <w:rsid w:val="00933CC2"/>
    <w:pPr>
      <w:spacing w:before="160"/>
      <w:ind w:firstLine="0"/>
    </w:pPr>
    <w:rPr>
      <w:rFonts w:ascii="Arial" w:hAnsi="Arial"/>
      <w:noProof/>
    </w:rPr>
  </w:style>
  <w:style w:type="character" w:styleId="af7">
    <w:name w:val="annotation reference"/>
    <w:basedOn w:val="a0"/>
    <w:uiPriority w:val="99"/>
    <w:semiHidden/>
    <w:unhideWhenUsed/>
    <w:rsid w:val="00CB3427"/>
    <w:rPr>
      <w:sz w:val="16"/>
      <w:szCs w:val="16"/>
    </w:rPr>
  </w:style>
  <w:style w:type="paragraph" w:styleId="af8">
    <w:name w:val="annotation text"/>
    <w:basedOn w:val="a"/>
    <w:link w:val="af9"/>
    <w:uiPriority w:val="99"/>
    <w:semiHidden/>
    <w:unhideWhenUsed/>
    <w:rsid w:val="00CB3427"/>
    <w:pPr>
      <w:spacing w:line="240" w:lineRule="auto"/>
    </w:pPr>
    <w:rPr>
      <w:sz w:val="20"/>
      <w:szCs w:val="20"/>
    </w:rPr>
  </w:style>
  <w:style w:type="character" w:customStyle="1" w:styleId="af9">
    <w:name w:val="Текст примечания Знак"/>
    <w:basedOn w:val="a0"/>
    <w:link w:val="af8"/>
    <w:uiPriority w:val="99"/>
    <w:semiHidden/>
    <w:rsid w:val="00CB3427"/>
    <w:rPr>
      <w:sz w:val="20"/>
      <w:szCs w:val="20"/>
    </w:rPr>
  </w:style>
  <w:style w:type="paragraph" w:styleId="afa">
    <w:name w:val="annotation subject"/>
    <w:basedOn w:val="af8"/>
    <w:next w:val="af8"/>
    <w:link w:val="afb"/>
    <w:uiPriority w:val="99"/>
    <w:semiHidden/>
    <w:unhideWhenUsed/>
    <w:rsid w:val="00CB3427"/>
    <w:rPr>
      <w:b/>
      <w:bCs/>
    </w:rPr>
  </w:style>
  <w:style w:type="character" w:customStyle="1" w:styleId="afb">
    <w:name w:val="Тема примечания Знак"/>
    <w:basedOn w:val="af9"/>
    <w:link w:val="afa"/>
    <w:uiPriority w:val="99"/>
    <w:semiHidden/>
    <w:rsid w:val="00CB3427"/>
    <w:rPr>
      <w:b/>
      <w:bCs/>
      <w:sz w:val="20"/>
      <w:szCs w:val="20"/>
    </w:rPr>
  </w:style>
  <w:style w:type="table" w:customStyle="1" w:styleId="1">
    <w:name w:val="Сетка таблицы1"/>
    <w:basedOn w:val="a1"/>
    <w:next w:val="a9"/>
    <w:uiPriority w:val="59"/>
    <w:rsid w:val="00087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7170">
      <w:bodyDiv w:val="1"/>
      <w:marLeft w:val="0"/>
      <w:marRight w:val="0"/>
      <w:marTop w:val="0"/>
      <w:marBottom w:val="0"/>
      <w:divBdr>
        <w:top w:val="none" w:sz="0" w:space="0" w:color="auto"/>
        <w:left w:val="none" w:sz="0" w:space="0" w:color="auto"/>
        <w:bottom w:val="none" w:sz="0" w:space="0" w:color="auto"/>
        <w:right w:val="none" w:sz="0" w:space="0" w:color="auto"/>
      </w:divBdr>
    </w:div>
    <w:div w:id="101343979">
      <w:bodyDiv w:val="1"/>
      <w:marLeft w:val="0"/>
      <w:marRight w:val="0"/>
      <w:marTop w:val="0"/>
      <w:marBottom w:val="0"/>
      <w:divBdr>
        <w:top w:val="none" w:sz="0" w:space="0" w:color="auto"/>
        <w:left w:val="none" w:sz="0" w:space="0" w:color="auto"/>
        <w:bottom w:val="none" w:sz="0" w:space="0" w:color="auto"/>
        <w:right w:val="none" w:sz="0" w:space="0" w:color="auto"/>
      </w:divBdr>
    </w:div>
    <w:div w:id="105589725">
      <w:bodyDiv w:val="1"/>
      <w:marLeft w:val="0"/>
      <w:marRight w:val="0"/>
      <w:marTop w:val="0"/>
      <w:marBottom w:val="0"/>
      <w:divBdr>
        <w:top w:val="none" w:sz="0" w:space="0" w:color="auto"/>
        <w:left w:val="none" w:sz="0" w:space="0" w:color="auto"/>
        <w:bottom w:val="none" w:sz="0" w:space="0" w:color="auto"/>
        <w:right w:val="none" w:sz="0" w:space="0" w:color="auto"/>
      </w:divBdr>
    </w:div>
    <w:div w:id="146750524">
      <w:bodyDiv w:val="1"/>
      <w:marLeft w:val="0"/>
      <w:marRight w:val="0"/>
      <w:marTop w:val="0"/>
      <w:marBottom w:val="0"/>
      <w:divBdr>
        <w:top w:val="none" w:sz="0" w:space="0" w:color="auto"/>
        <w:left w:val="none" w:sz="0" w:space="0" w:color="auto"/>
        <w:bottom w:val="none" w:sz="0" w:space="0" w:color="auto"/>
        <w:right w:val="none" w:sz="0" w:space="0" w:color="auto"/>
      </w:divBdr>
    </w:div>
    <w:div w:id="205794207">
      <w:bodyDiv w:val="1"/>
      <w:marLeft w:val="0"/>
      <w:marRight w:val="0"/>
      <w:marTop w:val="0"/>
      <w:marBottom w:val="0"/>
      <w:divBdr>
        <w:top w:val="none" w:sz="0" w:space="0" w:color="auto"/>
        <w:left w:val="none" w:sz="0" w:space="0" w:color="auto"/>
        <w:bottom w:val="none" w:sz="0" w:space="0" w:color="auto"/>
        <w:right w:val="none" w:sz="0" w:space="0" w:color="auto"/>
      </w:divBdr>
    </w:div>
    <w:div w:id="434326635">
      <w:bodyDiv w:val="1"/>
      <w:marLeft w:val="0"/>
      <w:marRight w:val="0"/>
      <w:marTop w:val="0"/>
      <w:marBottom w:val="0"/>
      <w:divBdr>
        <w:top w:val="none" w:sz="0" w:space="0" w:color="auto"/>
        <w:left w:val="none" w:sz="0" w:space="0" w:color="auto"/>
        <w:bottom w:val="none" w:sz="0" w:space="0" w:color="auto"/>
        <w:right w:val="none" w:sz="0" w:space="0" w:color="auto"/>
      </w:divBdr>
    </w:div>
    <w:div w:id="484512213">
      <w:bodyDiv w:val="1"/>
      <w:marLeft w:val="0"/>
      <w:marRight w:val="0"/>
      <w:marTop w:val="0"/>
      <w:marBottom w:val="0"/>
      <w:divBdr>
        <w:top w:val="none" w:sz="0" w:space="0" w:color="auto"/>
        <w:left w:val="none" w:sz="0" w:space="0" w:color="auto"/>
        <w:bottom w:val="none" w:sz="0" w:space="0" w:color="auto"/>
        <w:right w:val="none" w:sz="0" w:space="0" w:color="auto"/>
      </w:divBdr>
    </w:div>
    <w:div w:id="574390060">
      <w:bodyDiv w:val="1"/>
      <w:marLeft w:val="0"/>
      <w:marRight w:val="0"/>
      <w:marTop w:val="0"/>
      <w:marBottom w:val="0"/>
      <w:divBdr>
        <w:top w:val="none" w:sz="0" w:space="0" w:color="auto"/>
        <w:left w:val="none" w:sz="0" w:space="0" w:color="auto"/>
        <w:bottom w:val="none" w:sz="0" w:space="0" w:color="auto"/>
        <w:right w:val="none" w:sz="0" w:space="0" w:color="auto"/>
      </w:divBdr>
    </w:div>
    <w:div w:id="627854368">
      <w:bodyDiv w:val="1"/>
      <w:marLeft w:val="0"/>
      <w:marRight w:val="0"/>
      <w:marTop w:val="0"/>
      <w:marBottom w:val="0"/>
      <w:divBdr>
        <w:top w:val="none" w:sz="0" w:space="0" w:color="auto"/>
        <w:left w:val="none" w:sz="0" w:space="0" w:color="auto"/>
        <w:bottom w:val="none" w:sz="0" w:space="0" w:color="auto"/>
        <w:right w:val="none" w:sz="0" w:space="0" w:color="auto"/>
      </w:divBdr>
    </w:div>
    <w:div w:id="820344258">
      <w:bodyDiv w:val="1"/>
      <w:marLeft w:val="0"/>
      <w:marRight w:val="0"/>
      <w:marTop w:val="0"/>
      <w:marBottom w:val="0"/>
      <w:divBdr>
        <w:top w:val="none" w:sz="0" w:space="0" w:color="auto"/>
        <w:left w:val="none" w:sz="0" w:space="0" w:color="auto"/>
        <w:bottom w:val="none" w:sz="0" w:space="0" w:color="auto"/>
        <w:right w:val="none" w:sz="0" w:space="0" w:color="auto"/>
      </w:divBdr>
    </w:div>
    <w:div w:id="838926518">
      <w:bodyDiv w:val="1"/>
      <w:marLeft w:val="0"/>
      <w:marRight w:val="0"/>
      <w:marTop w:val="0"/>
      <w:marBottom w:val="0"/>
      <w:divBdr>
        <w:top w:val="none" w:sz="0" w:space="0" w:color="auto"/>
        <w:left w:val="none" w:sz="0" w:space="0" w:color="auto"/>
        <w:bottom w:val="none" w:sz="0" w:space="0" w:color="auto"/>
        <w:right w:val="none" w:sz="0" w:space="0" w:color="auto"/>
      </w:divBdr>
    </w:div>
    <w:div w:id="879898654">
      <w:bodyDiv w:val="1"/>
      <w:marLeft w:val="0"/>
      <w:marRight w:val="0"/>
      <w:marTop w:val="0"/>
      <w:marBottom w:val="0"/>
      <w:divBdr>
        <w:top w:val="none" w:sz="0" w:space="0" w:color="auto"/>
        <w:left w:val="none" w:sz="0" w:space="0" w:color="auto"/>
        <w:bottom w:val="none" w:sz="0" w:space="0" w:color="auto"/>
        <w:right w:val="none" w:sz="0" w:space="0" w:color="auto"/>
      </w:divBdr>
    </w:div>
    <w:div w:id="880749314">
      <w:bodyDiv w:val="1"/>
      <w:marLeft w:val="0"/>
      <w:marRight w:val="0"/>
      <w:marTop w:val="0"/>
      <w:marBottom w:val="0"/>
      <w:divBdr>
        <w:top w:val="none" w:sz="0" w:space="0" w:color="auto"/>
        <w:left w:val="none" w:sz="0" w:space="0" w:color="auto"/>
        <w:bottom w:val="none" w:sz="0" w:space="0" w:color="auto"/>
        <w:right w:val="none" w:sz="0" w:space="0" w:color="auto"/>
      </w:divBdr>
    </w:div>
    <w:div w:id="953823817">
      <w:bodyDiv w:val="1"/>
      <w:marLeft w:val="0"/>
      <w:marRight w:val="0"/>
      <w:marTop w:val="0"/>
      <w:marBottom w:val="0"/>
      <w:divBdr>
        <w:top w:val="none" w:sz="0" w:space="0" w:color="auto"/>
        <w:left w:val="none" w:sz="0" w:space="0" w:color="auto"/>
        <w:bottom w:val="none" w:sz="0" w:space="0" w:color="auto"/>
        <w:right w:val="none" w:sz="0" w:space="0" w:color="auto"/>
      </w:divBdr>
    </w:div>
    <w:div w:id="1058286786">
      <w:bodyDiv w:val="1"/>
      <w:marLeft w:val="0"/>
      <w:marRight w:val="0"/>
      <w:marTop w:val="0"/>
      <w:marBottom w:val="0"/>
      <w:divBdr>
        <w:top w:val="none" w:sz="0" w:space="0" w:color="auto"/>
        <w:left w:val="none" w:sz="0" w:space="0" w:color="auto"/>
        <w:bottom w:val="none" w:sz="0" w:space="0" w:color="auto"/>
        <w:right w:val="none" w:sz="0" w:space="0" w:color="auto"/>
      </w:divBdr>
    </w:div>
    <w:div w:id="1075053925">
      <w:bodyDiv w:val="1"/>
      <w:marLeft w:val="0"/>
      <w:marRight w:val="0"/>
      <w:marTop w:val="0"/>
      <w:marBottom w:val="0"/>
      <w:divBdr>
        <w:top w:val="none" w:sz="0" w:space="0" w:color="auto"/>
        <w:left w:val="none" w:sz="0" w:space="0" w:color="auto"/>
        <w:bottom w:val="none" w:sz="0" w:space="0" w:color="auto"/>
        <w:right w:val="none" w:sz="0" w:space="0" w:color="auto"/>
      </w:divBdr>
    </w:div>
    <w:div w:id="1085300522">
      <w:bodyDiv w:val="1"/>
      <w:marLeft w:val="0"/>
      <w:marRight w:val="0"/>
      <w:marTop w:val="0"/>
      <w:marBottom w:val="0"/>
      <w:divBdr>
        <w:top w:val="none" w:sz="0" w:space="0" w:color="auto"/>
        <w:left w:val="none" w:sz="0" w:space="0" w:color="auto"/>
        <w:bottom w:val="none" w:sz="0" w:space="0" w:color="auto"/>
        <w:right w:val="none" w:sz="0" w:space="0" w:color="auto"/>
      </w:divBdr>
    </w:div>
    <w:div w:id="1123769692">
      <w:bodyDiv w:val="1"/>
      <w:marLeft w:val="0"/>
      <w:marRight w:val="0"/>
      <w:marTop w:val="0"/>
      <w:marBottom w:val="0"/>
      <w:divBdr>
        <w:top w:val="none" w:sz="0" w:space="0" w:color="auto"/>
        <w:left w:val="none" w:sz="0" w:space="0" w:color="auto"/>
        <w:bottom w:val="none" w:sz="0" w:space="0" w:color="auto"/>
        <w:right w:val="none" w:sz="0" w:space="0" w:color="auto"/>
      </w:divBdr>
    </w:div>
    <w:div w:id="1149636948">
      <w:bodyDiv w:val="1"/>
      <w:marLeft w:val="0"/>
      <w:marRight w:val="0"/>
      <w:marTop w:val="0"/>
      <w:marBottom w:val="0"/>
      <w:divBdr>
        <w:top w:val="none" w:sz="0" w:space="0" w:color="auto"/>
        <w:left w:val="none" w:sz="0" w:space="0" w:color="auto"/>
        <w:bottom w:val="none" w:sz="0" w:space="0" w:color="auto"/>
        <w:right w:val="none" w:sz="0" w:space="0" w:color="auto"/>
      </w:divBdr>
    </w:div>
    <w:div w:id="1188174945">
      <w:bodyDiv w:val="1"/>
      <w:marLeft w:val="0"/>
      <w:marRight w:val="0"/>
      <w:marTop w:val="0"/>
      <w:marBottom w:val="0"/>
      <w:divBdr>
        <w:top w:val="none" w:sz="0" w:space="0" w:color="auto"/>
        <w:left w:val="none" w:sz="0" w:space="0" w:color="auto"/>
        <w:bottom w:val="none" w:sz="0" w:space="0" w:color="auto"/>
        <w:right w:val="none" w:sz="0" w:space="0" w:color="auto"/>
      </w:divBdr>
    </w:div>
    <w:div w:id="1298607467">
      <w:bodyDiv w:val="1"/>
      <w:marLeft w:val="0"/>
      <w:marRight w:val="0"/>
      <w:marTop w:val="0"/>
      <w:marBottom w:val="0"/>
      <w:divBdr>
        <w:top w:val="none" w:sz="0" w:space="0" w:color="auto"/>
        <w:left w:val="none" w:sz="0" w:space="0" w:color="auto"/>
        <w:bottom w:val="none" w:sz="0" w:space="0" w:color="auto"/>
        <w:right w:val="none" w:sz="0" w:space="0" w:color="auto"/>
      </w:divBdr>
    </w:div>
    <w:div w:id="1409037528">
      <w:bodyDiv w:val="1"/>
      <w:marLeft w:val="0"/>
      <w:marRight w:val="0"/>
      <w:marTop w:val="0"/>
      <w:marBottom w:val="0"/>
      <w:divBdr>
        <w:top w:val="none" w:sz="0" w:space="0" w:color="auto"/>
        <w:left w:val="none" w:sz="0" w:space="0" w:color="auto"/>
        <w:bottom w:val="none" w:sz="0" w:space="0" w:color="auto"/>
        <w:right w:val="none" w:sz="0" w:space="0" w:color="auto"/>
      </w:divBdr>
    </w:div>
    <w:div w:id="1507473138">
      <w:bodyDiv w:val="1"/>
      <w:marLeft w:val="0"/>
      <w:marRight w:val="0"/>
      <w:marTop w:val="0"/>
      <w:marBottom w:val="0"/>
      <w:divBdr>
        <w:top w:val="none" w:sz="0" w:space="0" w:color="auto"/>
        <w:left w:val="none" w:sz="0" w:space="0" w:color="auto"/>
        <w:bottom w:val="none" w:sz="0" w:space="0" w:color="auto"/>
        <w:right w:val="none" w:sz="0" w:space="0" w:color="auto"/>
      </w:divBdr>
    </w:div>
    <w:div w:id="1544055754">
      <w:bodyDiv w:val="1"/>
      <w:marLeft w:val="0"/>
      <w:marRight w:val="0"/>
      <w:marTop w:val="0"/>
      <w:marBottom w:val="0"/>
      <w:divBdr>
        <w:top w:val="none" w:sz="0" w:space="0" w:color="auto"/>
        <w:left w:val="none" w:sz="0" w:space="0" w:color="auto"/>
        <w:bottom w:val="none" w:sz="0" w:space="0" w:color="auto"/>
        <w:right w:val="none" w:sz="0" w:space="0" w:color="auto"/>
      </w:divBdr>
    </w:div>
    <w:div w:id="1561289292">
      <w:bodyDiv w:val="1"/>
      <w:marLeft w:val="0"/>
      <w:marRight w:val="0"/>
      <w:marTop w:val="0"/>
      <w:marBottom w:val="0"/>
      <w:divBdr>
        <w:top w:val="none" w:sz="0" w:space="0" w:color="auto"/>
        <w:left w:val="none" w:sz="0" w:space="0" w:color="auto"/>
        <w:bottom w:val="none" w:sz="0" w:space="0" w:color="auto"/>
        <w:right w:val="none" w:sz="0" w:space="0" w:color="auto"/>
      </w:divBdr>
    </w:div>
    <w:div w:id="1672367232">
      <w:bodyDiv w:val="1"/>
      <w:marLeft w:val="0"/>
      <w:marRight w:val="0"/>
      <w:marTop w:val="0"/>
      <w:marBottom w:val="0"/>
      <w:divBdr>
        <w:top w:val="none" w:sz="0" w:space="0" w:color="auto"/>
        <w:left w:val="none" w:sz="0" w:space="0" w:color="auto"/>
        <w:bottom w:val="none" w:sz="0" w:space="0" w:color="auto"/>
        <w:right w:val="none" w:sz="0" w:space="0" w:color="auto"/>
      </w:divBdr>
    </w:div>
    <w:div w:id="1747919571">
      <w:bodyDiv w:val="1"/>
      <w:marLeft w:val="0"/>
      <w:marRight w:val="0"/>
      <w:marTop w:val="0"/>
      <w:marBottom w:val="0"/>
      <w:divBdr>
        <w:top w:val="none" w:sz="0" w:space="0" w:color="auto"/>
        <w:left w:val="none" w:sz="0" w:space="0" w:color="auto"/>
        <w:bottom w:val="none" w:sz="0" w:space="0" w:color="auto"/>
        <w:right w:val="none" w:sz="0" w:space="0" w:color="auto"/>
      </w:divBdr>
    </w:div>
    <w:div w:id="1753578047">
      <w:bodyDiv w:val="1"/>
      <w:marLeft w:val="0"/>
      <w:marRight w:val="0"/>
      <w:marTop w:val="0"/>
      <w:marBottom w:val="0"/>
      <w:divBdr>
        <w:top w:val="none" w:sz="0" w:space="0" w:color="auto"/>
        <w:left w:val="none" w:sz="0" w:space="0" w:color="auto"/>
        <w:bottom w:val="none" w:sz="0" w:space="0" w:color="auto"/>
        <w:right w:val="none" w:sz="0" w:space="0" w:color="auto"/>
      </w:divBdr>
    </w:div>
    <w:div w:id="1755740935">
      <w:bodyDiv w:val="1"/>
      <w:marLeft w:val="0"/>
      <w:marRight w:val="0"/>
      <w:marTop w:val="0"/>
      <w:marBottom w:val="0"/>
      <w:divBdr>
        <w:top w:val="none" w:sz="0" w:space="0" w:color="auto"/>
        <w:left w:val="none" w:sz="0" w:space="0" w:color="auto"/>
        <w:bottom w:val="none" w:sz="0" w:space="0" w:color="auto"/>
        <w:right w:val="none" w:sz="0" w:space="0" w:color="auto"/>
      </w:divBdr>
    </w:div>
    <w:div w:id="1878396834">
      <w:bodyDiv w:val="1"/>
      <w:marLeft w:val="0"/>
      <w:marRight w:val="0"/>
      <w:marTop w:val="0"/>
      <w:marBottom w:val="0"/>
      <w:divBdr>
        <w:top w:val="none" w:sz="0" w:space="0" w:color="auto"/>
        <w:left w:val="none" w:sz="0" w:space="0" w:color="auto"/>
        <w:bottom w:val="none" w:sz="0" w:space="0" w:color="auto"/>
        <w:right w:val="none" w:sz="0" w:space="0" w:color="auto"/>
      </w:divBdr>
    </w:div>
    <w:div w:id="1880388759">
      <w:bodyDiv w:val="1"/>
      <w:marLeft w:val="0"/>
      <w:marRight w:val="0"/>
      <w:marTop w:val="0"/>
      <w:marBottom w:val="0"/>
      <w:divBdr>
        <w:top w:val="none" w:sz="0" w:space="0" w:color="auto"/>
        <w:left w:val="none" w:sz="0" w:space="0" w:color="auto"/>
        <w:bottom w:val="none" w:sz="0" w:space="0" w:color="auto"/>
        <w:right w:val="none" w:sz="0" w:space="0" w:color="auto"/>
      </w:divBdr>
    </w:div>
    <w:div w:id="2072073299">
      <w:bodyDiv w:val="1"/>
      <w:marLeft w:val="0"/>
      <w:marRight w:val="0"/>
      <w:marTop w:val="0"/>
      <w:marBottom w:val="0"/>
      <w:divBdr>
        <w:top w:val="none" w:sz="0" w:space="0" w:color="auto"/>
        <w:left w:val="none" w:sz="0" w:space="0" w:color="auto"/>
        <w:bottom w:val="none" w:sz="0" w:space="0" w:color="auto"/>
        <w:right w:val="none" w:sz="0" w:space="0" w:color="auto"/>
      </w:divBdr>
    </w:div>
    <w:div w:id="2082481228">
      <w:bodyDiv w:val="1"/>
      <w:marLeft w:val="0"/>
      <w:marRight w:val="0"/>
      <w:marTop w:val="0"/>
      <w:marBottom w:val="0"/>
      <w:divBdr>
        <w:top w:val="none" w:sz="0" w:space="0" w:color="auto"/>
        <w:left w:val="none" w:sz="0" w:space="0" w:color="auto"/>
        <w:bottom w:val="none" w:sz="0" w:space="0" w:color="auto"/>
        <w:right w:val="none" w:sz="0" w:space="0" w:color="auto"/>
      </w:divBdr>
    </w:div>
    <w:div w:id="2110663017">
      <w:bodyDiv w:val="1"/>
      <w:marLeft w:val="0"/>
      <w:marRight w:val="0"/>
      <w:marTop w:val="0"/>
      <w:marBottom w:val="0"/>
      <w:divBdr>
        <w:top w:val="none" w:sz="0" w:space="0" w:color="auto"/>
        <w:left w:val="none" w:sz="0" w:space="0" w:color="auto"/>
        <w:bottom w:val="none" w:sz="0" w:space="0" w:color="auto"/>
        <w:right w:val="none" w:sz="0" w:space="0" w:color="auto"/>
      </w:divBdr>
    </w:div>
    <w:div w:id="2112312028">
      <w:bodyDiv w:val="1"/>
      <w:marLeft w:val="0"/>
      <w:marRight w:val="0"/>
      <w:marTop w:val="0"/>
      <w:marBottom w:val="0"/>
      <w:divBdr>
        <w:top w:val="none" w:sz="0" w:space="0" w:color="auto"/>
        <w:left w:val="none" w:sz="0" w:space="0" w:color="auto"/>
        <w:bottom w:val="none" w:sz="0" w:space="0" w:color="auto"/>
        <w:right w:val="none" w:sz="0" w:space="0" w:color="auto"/>
      </w:divBdr>
    </w:div>
    <w:div w:id="21367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00000257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7B54-75A7-465C-8F5F-3FCD754E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gbeksautova</dc:creator>
  <cp:lastModifiedBy>Ибрагим</cp:lastModifiedBy>
  <cp:revision>70</cp:revision>
  <cp:lastPrinted>2016-11-21T11:56:00Z</cp:lastPrinted>
  <dcterms:created xsi:type="dcterms:W3CDTF">2016-10-13T05:24:00Z</dcterms:created>
  <dcterms:modified xsi:type="dcterms:W3CDTF">2023-05-26T06:33:00Z</dcterms:modified>
</cp:coreProperties>
</file>